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50944-2025 i Eskilstuna kommun</w:t>
      </w:r>
    </w:p>
    <w:p>
      <w:r>
        <w:t>Detta dokument behandlar höga naturvärden i avverkningsanmälan A 50944-2025 i Eskilstuna kommun. Denna avverkningsanmälan inkom 2025-10-16 00:00:00 och omfattar 11,2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13 naturvårdsarter hittats: knärot (VU, §8), rynkskinn (VU), gropticka (NT), spillkråka (NT, §4), talltita (NT, §4), ullticka (NT), blåmossa (S), bronshjon (S), gullgröppa (S), kornknutmossa (S), mindre märgborre (S), stekelbock (S) och kungsfågel (§4).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21973"/>
            <wp:docPr id="1" name="Picture 1"/>
            <wp:cNvGraphicFramePr>
              <a:graphicFrameLocks noChangeAspect="1"/>
            </wp:cNvGraphicFramePr>
            <a:graphic>
              <a:graphicData uri="http://schemas.openxmlformats.org/drawingml/2006/picture">
                <pic:pic>
                  <pic:nvPicPr>
                    <pic:cNvPr id="0" name="A 50944-2025 karta.png"/>
                    <pic:cNvPicPr/>
                  </pic:nvPicPr>
                  <pic:blipFill>
                    <a:blip r:embed="rId16"/>
                    <a:stretch>
                      <a:fillRect/>
                    </a:stretch>
                  </pic:blipFill>
                  <pic:spPr>
                    <a:xfrm>
                      <a:off x="0" y="0"/>
                      <a:ext cx="5486400" cy="38219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6587873, E 572661 i SWEREF 99 TM.</w:t>
      </w:r>
    </w:p>
    <w:p>
      <w:r>
        <w:rPr>
          <w:b/>
        </w:rPr>
        <w:t xml:space="preserve">Blåmossa </w:t>
      </w:r>
      <w:r>
        <w:t>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(Nitare &amp; Skogsstyrelsen, 2019).</w:t>
      </w:r>
    </w:p>
    <w:p>
      <w:r>
        <w:rPr>
          <w:b/>
        </w:rPr>
        <w:t>Gropticka (NT)</w:t>
      </w:r>
      <w:r>
        <w:t xml:space="preserve"> är en bra signalart som visar på skyddsvärda barrskogar i södra halvan av landet och kan betraktas som en sydlig ”urskogsindikator” eller gammelskogsindikator. Skogsbestånd där gropticka återfinns bör lämnas till fri utveckling. För att bibehålla arten i landet på sikt krävs att fler områden med gammal barrskog skyddas i Götaland och Svealand (SLU Artdatabanken, 2024; Nitare &amp; Skogsstyrelsen, 2019).</w:t>
      </w:r>
    </w:p>
    <w:p>
      <w:r>
        <w:rPr>
          <w:b/>
        </w:rPr>
        <w:t>Kornknutmossa</w:t>
      </w:r>
      <w:r>
        <w:t xml:space="preserve"> växer främst på grova lågor i sumpskog och myrkanter och indikerar miljöer med rik och jämn tillgång på fuktigt liggande ved. En typisk växtplats i södra Sverige är naturskogsartad gransumpskog. Samtliga skogsskötselåtgärder på eller i omedelbar närhet av lokalerna utgör ett hot. Fragmenteringen av skogslandskapet liksom minskad mängd död ved är ett långsiktigt hot mot denna art (SLU Artdatabanken, 2024; Nitare &amp; Skogsstyrelsen, 2019).</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(Pettersson, 2014; Hedgren, 2012; Gunnarsson m fl., 1999).</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knärot (VU, §8), spillkråka (NT, §4), talltita (NT, §4) och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4 fyndplatser för knärot registrerade på Artportalen. Figur 2 visar gränserna för buffertzoner på 50 m, som behöver lämnas kring fyndplatserna för att knärotslokalerna inte ska försvinna vid en avverkning. Av det avverkningsanmälda området överlappar 2.29 ha med buffertzonerna och får av detta skäl inte avverkas.</w:t>
      </w:r>
    </w:p>
    <w:p>
      <w:pPr>
        <w:pStyle w:val="Caption"/>
      </w:pPr>
      <w:r>
        <w:drawing>
          <wp:inline xmlns:a="http://schemas.openxmlformats.org/drawingml/2006/main" xmlns:pic="http://schemas.openxmlformats.org/drawingml/2006/picture">
            <wp:extent cx="5486400" cy="4414773"/>
            <wp:docPr id="2" name="Picture 2"/>
            <wp:cNvGraphicFramePr>
              <a:graphicFrameLocks noChangeAspect="1"/>
            </wp:cNvGraphicFramePr>
            <a:graphic>
              <a:graphicData uri="http://schemas.openxmlformats.org/drawingml/2006/picture">
                <pic:pic>
                  <pic:nvPicPr>
                    <pic:cNvPr id="0" name="A 50944-2025 karta knärot.png"/>
                    <pic:cNvPicPr/>
                  </pic:nvPicPr>
                  <pic:blipFill>
                    <a:blip r:embed="rId17"/>
                    <a:stretch>
                      <a:fillRect/>
                    </a:stretch>
                  </pic:blipFill>
                  <pic:spPr>
                    <a:xfrm>
                      <a:off x="0" y="0"/>
                      <a:ext cx="5486400" cy="441477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6587873, E 572661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13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(Pettersson, 2014).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