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som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storspov (EN, §4), blå kärrhök (VU, §4), tofsvipa (VU, §4), duvhök (NT, §4), enkelbeckasin (NT, §4), gulsparv (NT, §4), göktyta (NT, §4), järnsparv (NT, §4), mindre hackspett (NT, T, §4), nötkråka (NT, T, §4), sparvuggla (NT, §4), talltita (NT, §4), järpe (T, §4), kråka (§4), sävsparv (§4), sångsvan (§4) och trana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2"/>
      </w:pPr>
      <w:r>
        <w:t>Fridlysta arter</w:t>
      </w:r>
    </w:p>
    <w:p>
      <w:r>
        <w:t>Följande fridlysta arter har sina livsmiljöer och växtplatser i den avverkningsanmälda skogen: storspov (EN, §4), blå kärrhök (VU, §4), tofsvipa (VU, §4), duvhök (NT, §4), enkelbeckasin (NT, §4), gulsparv (NT, §4), göktyta (NT, §4), järnsparv (NT, §4), mindre hackspett (NT, T, §4), nötkråka (NT, T, §4), sparvuggla (NT, §4), talltita (NT, §4), järpe (T, §4), kråka (§4), sävsparv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