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2932-2024 i Strängnäs kommun</w:t>
      </w:r>
    </w:p>
    <w:p>
      <w:r>
        <w:t>Denna tillsynsbegäran behandlar höga naturvärden i samrådsanmälan S 2932-2024 i Strängnäs kommun som inkom 2024-08-01 och omfattar 116,0 ha.</w:t>
      </w:r>
    </w:p>
    <w:p>
      <w:pPr>
        <w:pStyle w:val="Caption"/>
      </w:pPr>
      <w:r>
        <w:drawing>
          <wp:inline xmlns:a="http://schemas.openxmlformats.org/drawingml/2006/main" xmlns:pic="http://schemas.openxmlformats.org/drawingml/2006/picture">
            <wp:extent cx="4051773" cy="5724000"/>
            <wp:docPr id="1" name="Picture 1"/>
            <wp:cNvGraphicFramePr>
              <a:graphicFrameLocks noChangeAspect="1"/>
            </wp:cNvGraphicFramePr>
            <a:graphic>
              <a:graphicData uri="http://schemas.openxmlformats.org/drawingml/2006/picture">
                <pic:pic>
                  <pic:nvPicPr>
                    <pic:cNvPr id="0" name="S 2932-2024 karta.png"/>
                    <pic:cNvPicPr/>
                  </pic:nvPicPr>
                  <pic:blipFill>
                    <a:blip r:embed="rId16"/>
                    <a:stretch>
                      <a:fillRect/>
                    </a:stretch>
                  </pic:blipFill>
                  <pic:spPr>
                    <a:xfrm>
                      <a:off x="0" y="0"/>
                      <a:ext cx="4051773"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6576659, E 619098 i SWEREF 99 TM.</w:t>
      </w:r>
    </w:p>
    <w:p>
      <w:r>
        <w:t>I och inom 23 meter från samrådsanmälan finns fynd av 83 naturvårdsarter, varav 50 är rödlistade, 32 är fridlysta, 26 är typiska (T) och 15 är signalarter (S): ask (EN), skogsalm (EN), gräshoppsångare (VU, §4), grönfink (VU, §4), igelkott (VU), lungrot (VU), läderbagge (VU, §4a), norsk fetfibbla (VU), porslinsblå spindling (VU, T), skuggmalmätare (VU), stare (VU, §4), tornseglare (VU, §4), backtimjan (NT), björktrast (NT, §4), cinnoberspindling (NT), duvhök (NT, §4), ekticka (NT, T), entita (NT, T, §4), grönfjällig fjällskivling (NT), grönsångare (NT, §4), gul dropplav (NT), gulprickig vaxskivling (NT), gulsparv (NT, §4), göktyta (NT, §4), humlerotfjäril (NT), jättekamskivling (NT), jättespindling (NT), kandelabersvamp (NT, T), knottrig rottryffel (NT), kryddspindling (NT, T), kungsspindling (NT), ladusvala (NT, §4), mindre hackspett (NT, T, §4), oxtungssvamp (NT), rosa skärelav (NT, T), rosenfink (NT, §4), rödbrun blekspik (NT, T), rödvingetrast (NT, §4), rördrom (NT, §4), saffransspindling (NT), större aspvårvecklare (NT), svart skogssnigel (NT), svartöra (NT, T), tallticka (NT, T), tvärbandat vickerfly (NT), vasspetsad sikelvinge (NT), vippärt (NT, T), vägtornsmätare (NT), vårärt (NT, T), ängsskära (NT), blåmossa (S, T), bolmörtsskivling (S), brun nållav (S), fällmossa (S, T), gulpudrad spiklav (S, T), huvudlik svampklubba (S), igelkottsröksvamp (S), lömsk flugsvamp (S), rostfläck (S, T), slemvaxing (S), sotlav (S, T), sotriska (S), stuplav (S, T), svart trolldruva (S, T), underviol (S, T), bergfink (T, §4), blåsippa (T, §9), gulsippa (T), spillkråka (T, §4), tallbit (T, §4), vildkaprifol (T), fjällvråk (§4), gröngöling (§4), grönsiska (§4), havsörn (§4), kråka (§4), kungsfågel (§4), näktergal (§4), svartvit flugsnappare (§4), sävsparv (§4), törnskata (§4), vanlig snok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Skuggmalmätare (VU) </w:t>
      </w:r>
      <w:r>
        <w:t>är beroende av en årlig blomning hos svart trolldruva eftersom larverna utvecklas i bären. Detta är sannolikt främsta orsaken till varför den i norra hälften av utbredningen endast påträffats på särskilt gynnsamma platser där större bestånd av värdväxten växer i måttligt frostkänsliga områden vid sjöar och åar.</w:t>
      </w:r>
      <w:r>
        <w:rPr>
          <w:b/>
        </w:rPr>
        <w:t xml:space="preserve"> </w:t>
      </w:r>
      <w:r>
        <w:t>Skuggmalmätare missgynnas av kalavverkning som drastiskt sänker nattemperaturen i livsmiljön och därmed ökar risken för frostbränning av värdväxtens blomknoppar, vilket leder till utebliven blomning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Cinnoberspindling (NT) </w:t>
      </w:r>
      <w:r>
        <w:t>är en mykorrhizasvamp som växer i ädellövskog, främst i bokskog men även under avenbok, hassel och ek. Arten är en mycket bra indikator på lövskog med lång kontinuitet och höga naturvärden. Lokalerna i mälarområdet bör helt undantas från skogsbruk och helst skyddas. På övriga lokaler bör skogsbruket bedrivas skonsamt. Byte av trädslag får ej ske och äldre träd måste finnas kvar efter att uttag av virke skett. Inom ytor med stor artrikedom bör inga ingrepp alls äga rum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Grönfjällig fjällskivling (NT) </w:t>
      </w:r>
      <w:r>
        <w:t>är en mycket sällsynt förnasvamp som växer på näringsrika ställen i löv- eller blandskog. Den tycks föredra kalkrik mark. Söderut är den ofta funnen i bokskog. De fåtaliga växtplatserna måste alla säkerställas och arten bör eftersökas i liknande miljöer på andra håll. För att gynna arten fordras att fler lövskogar på kalkrik mark skyddas och brukas på ett för svampfloran ändamålsenligt sätt. Grönfjällig fjällskivling är placerad högst upp i Skogsstyrelsens värdepyramid för bedömning av skog med höga naturvärden (SLU Artdatabanken, 2026;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Jättespindling (NT)</w:t>
      </w:r>
      <w:r>
        <w:t xml:space="preserve"> bildar mykorrhiza med ek, lind, avenbok, bok och hassel. Växer i ädellövskog, ädellövbryn, löväng och hagmark, bäckraviner på kalkrik och ofta betad mark. Minskningstakten har uppgått till 15 % under de senaste 50 åren och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Knottrig rottryffel (NT) </w:t>
      </w:r>
      <w:r>
        <w:t>bildar mykorrhiza med ädellövträd, främst ek. Påträffas i varma lägen i ljusöppen ädellövskog, löväng, hagmark och park på kalkrik mark. Lokalerna bör bevaras i sitt nuvarande skick. Ädellövskog på kalkhaltig mark är en artrik miljö i vilken skogsbruk bör bedrivas med största försiktighet eller helt undvikas vilket gynnar knottrig rottryffel och flera andra hotade och sällsynta svampar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Saffransspindling (NT) </w:t>
      </w:r>
      <w:r>
        <w:t>växer i ädellövskog, löväng, hagmark och hässlen på kalkhaltig mark där den bildar mykorrhiza med hassel, ek och sällsynt avenbok och lind. Minskningstakten för den svenska populationen bedöms vara nära gränsvärdet för Sårbar (VU). Växtplatser som utgörs av trädbärande betesmarker med stort inslag av äldre, ädla lövträd måste få fortsatt hävd. Gödning får inte användas och omföring till barrskog kan inte accepteras. De artrikaste och bäst bevarade lokalerna bör säkerställas (SLU Artdatabanken, 2024).</w:t>
      </w:r>
    </w:p>
    <w:p>
      <w:r>
        <w:rPr>
          <w:b/>
        </w:rPr>
        <w:t xml:space="preserve">Större aspvårvecklare (NT) </w:t>
      </w:r>
      <w:r>
        <w:t>är en fjäril som hör hemma i naturskog med grov asp, som är larvens värdväxt. Artens förekomst är kraftigt fragmenterad och den finns inte i varje skogsparti med äldre asp. Vecklaren kräver kontinuitetsskog och hotas av skogsavverkning där hänsyn till gammal asp negligeras. Skydda löv- och blandskogar med lång kontinuitet (SLU Artdatabanken, 2025).</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Vasspetsad sikelvinge (NT)</w:t>
      </w:r>
      <w:r>
        <w:t xml:space="preserve"> är knuten till stora sammanhängande områden med bestånd av skogslind, som utgör fjärilslarvens föda. Arten hotas främst av slutavverkning av ädellövskog, men sannolikt också av alltför kraftig utglesning av trädbestånd som gör dem till mindre varma livsmiljöer. Alla kvarvarande större ursprungliga bestånd av skogslind med äldre träd och en lång kontinuitet, bör ges ett sådant skydd att de undantas all framtida avverkning. Antalet rödlistade växter och djur beroende av ädellövskog, där skogslind är ett av de dominerande inslagen, är mycket högt (SLU Artdatabanken, 2026).</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Gulsippa</w:t>
      </w:r>
      <w:r>
        <w:t xml:space="preserve"> är typisk art för </w:t>
      </w:r>
      <w:r>
        <w:rPr>
          <w:i/>
        </w:rPr>
        <w:t xml:space="preserve">9130 Näringsrik bokskog </w:t>
      </w:r>
      <w:r>
        <w:t xml:space="preserve">och </w:t>
      </w:r>
      <w:r>
        <w:rPr>
          <w:i/>
        </w:rPr>
        <w:t>9160 Näringsrik ekskog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 xml:space="preserve">Vildkaprifol </w:t>
      </w:r>
      <w:r>
        <w:t xml:space="preserve">är typisk art för </w:t>
      </w:r>
      <w:r>
        <w:rPr>
          <w:i/>
        </w:rPr>
        <w:t>9190 Näringsfattig ekskog</w:t>
      </w:r>
      <w:r>
        <w:t>. Kaprifol är värdväxt för bland annat de rödlistade fjärilarna töcknig trymal (VU) och tryfjäril (NT) (SLU Artdatabanken, 2026).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porslinsblå spindling (VU, T), ekticka (NT, T), entita (NT, T, §4), kandelabersvamp (NT, T), kryddspindling (NT, T), mindre hackspett (NT, T, §4), rosa skärelav (NT, T), rödbrun blekspik (NT, T), svartöra (NT, T), tallticka (NT, T), vippärt (NT, T), vårärt (NT, T), blåmossa (S, T), fällmossa (S, T), gulpudrad spiklav (S, T), rostfläck (S, T), sotlav (S, T), stuplav (S, T), svart trolldruva (S, T), underviol (S, T), bergfink (T, §4), blåsippa (T, §9), gulsippa (T), spillkråka (T, §4), tallbit (T, §4) och vildkaprifol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