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42577-2023 i Strängnäs kommun</w:t>
      </w:r>
    </w:p>
    <w:p>
      <w:r>
        <w:t>Detta dokument behandlar höga naturvärden i avverkningsanmälan A 42577-2023 i Strängnäs kommun. Denna avverkningsanmälan inkom 2023-09-12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entita (NT, §4), mindre hackspett (NT, §4), spillkråka (NT, §4), svartvit flugsnappare (NT, §4), talltita (NT, §4), bivråk (§4) och orre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42577-2023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6587070, E 615139 i SWEREF 99 TM.</w:t>
      </w:r>
    </w:p>
    <w:p>
      <w:pPr>
        <w:pStyle w:val="Heading1"/>
      </w:pPr>
      <w:r>
        <w:t>Fridlysta arter</w:t>
      </w:r>
    </w:p>
    <w:p>
      <w:r>
        <w:t>Följande fridlysta arter har sina livsmiljöer och växtplatser i den avverkningsanmälda skogen: entita (NT, §4), mindre hackspett (NT, §4), spillkråka (NT, §4), svartvit flugsnappare (NT, §4), talltita (NT, §4), bivråk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