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Detta dokument behandlar höga naturvärden i avverkningsanmälan A 9237-2023 i Strängnäs kommun som inkom 2023-02-23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6592373, E 624038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18 naturvårdsarter hittats: havstrut (EN, §4), gråtrut (VU, §4), grönfink (VU, §4), tofsvipa (VU, §4), entita (NT, T, §4), gulsparv (NT, §4), skrattmås (NT, §4), spillkråka (T, §4), gröngöling (§4), grönsiska (§4), havsörn (§4), kråka (§4), salskrake (§4), skogsduva (§4), sävsparv (§4), sångsvan (§4), trana (§4) och trädlärka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gråtrut (VU, §4), grönfink (VU, §4), tofsvipa (VU, §4), entita (NT, T, §4), gulsparv (NT, §4), skrattmås (NT, §4), spillkråka (T, §4), gröngöling (§4), grönsiska (§4), havsörn (§4), kråka (§4), salskrake (§4), skogsduva (§4), sävsparv (§4), sångsvan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