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Detta dokument behandlar höga naturvärden i avverkningsanmälan A 9237-2023 i Strängnäs kommun som inkom 2023-02-23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6592373, E 624038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18 naturvårdsarter hittats: havstrut (EN, §4), gråtrut (VU, §4), grönfink (VU, §4), tofsvipa (VU, §4), entita (NT, T, §4), gulsparv (NT, §4), skrattmås (NT, §4), spillkråka (T, §4), gröngöling (§4), grönsiska (§4), havsörn (§4), kråka (§4), salskrake (§4), skogsduva (§4), sävsparv (§4), sångsvan (§4), trana (§4) och trädlärka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havstrut (EN, §4), gråtrut (VU, §4), grönfink (VU, §4), tofsvipa (VU, §4), entita (NT, T, §4), gulsparv (NT, §4), skrattmås (NT, §4), spillkråka (T, §4), gröngöling (§4), grönsiska (§4), havsörn (§4), kråka (§4), salskrake (§4), skogsduva (§4), sävsparv (§4), sångsvan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