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5673-2022 i Strängnäs kommun</w:t>
      </w:r>
    </w:p>
    <w:p>
      <w:r>
        <w:t>Denna tillsynsbegäran behandlar höga naturvärden i samrådsanmälan S 5673-2022 i Strängnäs kommun som inkom 2022-10-07 och omfattar 2,0 ha.</w:t>
      </w:r>
    </w:p>
    <w:p>
      <w:pPr>
        <w:pStyle w:val="Caption"/>
      </w:pPr>
      <w:r>
        <w:drawing>
          <wp:inline xmlns:a="http://schemas.openxmlformats.org/drawingml/2006/main" xmlns:pic="http://schemas.openxmlformats.org/drawingml/2006/picture">
            <wp:extent cx="5486400" cy="5292208"/>
            <wp:docPr id="1" name="Picture 1"/>
            <wp:cNvGraphicFramePr>
              <a:graphicFrameLocks noChangeAspect="1"/>
            </wp:cNvGraphicFramePr>
            <a:graphic>
              <a:graphicData uri="http://schemas.openxmlformats.org/drawingml/2006/picture">
                <pic:pic>
                  <pic:nvPicPr>
                    <pic:cNvPr id="0" name="S 5673-2022 karta.png"/>
                    <pic:cNvPicPr/>
                  </pic:nvPicPr>
                  <pic:blipFill>
                    <a:blip r:embed="rId16"/>
                    <a:stretch>
                      <a:fillRect/>
                    </a:stretch>
                  </pic:blipFill>
                  <pic:spPr>
                    <a:xfrm>
                      <a:off x="0" y="0"/>
                      <a:ext cx="5486400" cy="529220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6571600, E 629255 i SWEREF 99 TM.</w:t>
      </w:r>
    </w:p>
    <w:p>
      <w:r>
        <w:t>I samrådsanmälan finns fynd av 3 naturvårdsarter, varav 2 är rödlistade, 2 är typiska (T) och 1 är signalart (S): trubbig brosklav (VU), rödbrun blekspik (NT, T) och sotlav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Trubbig brosklav (VU)</w:t>
      </w:r>
      <w:r>
        <w:t xml:space="preserve"> är funnen från Öland upp till Lule Lappmark men aktuell status är något oklar. I södra och mellersta Sverige är arten uppenbarligen gynnad av dammimpregnering där den växer på gamla lövträd, främst i parker, kyrkogårdar, betesmarker och vid vägkanter. På Gotland växer den huvudsakligen på tunna grangrenar i barrskogar dominerade av gran. I norra Sverige är ekologin sämre känd men den förekommer på träd intill vattenfall. Arten hotas i södra och mellersta Sverige av avverkning av värdträd. Upphörande dammimpregnering vid asfaltering av grusvägar intill lokalerna är också ett hot. Lokalerna i norra Sverige bör lämnas för fri utveckling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