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kvalité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och fridlysta arter i avverkningsanmälan A 11562-2024 i Strängnäs kommun</w:t>
      </w:r>
    </w:p>
    <w:p>
      <w:r>
        <w:t>Detta dokument behandlar höga naturvärden i avverkningsanmälan A 11562-2024 i Strängnäs kommun. Denna avverkningsanmälan inkom 2024-03-22 och omfattar 30,6 ha.</w:t>
      </w:r>
    </w:p>
    <w:p>
      <w:r>
        <w:t>Nedan presenteras fynd av naturvårdsarter och fridlysta arter som gjorts i det avverkningsanmälda området, samt relevanta utdrag ur standarderna för FSC, Chain of Custody, Controlled Wood och PEFC. I BILAGA 1 finns artfakta om fridlysta arter.</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w:t>
      </w:r>
    </w:p>
    <w:p>
      <w:r>
        <w:t>I avverkningsanmälan har följande 20 naturvårdsarter hittats: bombmurkla (VU, §8), knärot (VU, §8), grönsångare (NT, §4), motaggsvamp (NT), nordfladdermus (NT, §4a), persiljespindling (NT), spillkråka (NT, §4), tallriska (NT), talltita (NT, §4), fjällig taggsvamp s.str. (S), granbarkgnagare (S), grönpyrola (S), gullgröppa (S), mindre märgborre (S), rökmusseron (S), fiskgjuse (§4), tjäder (§4), blåsippa (§9), mattlummer (§9) och revlummer (§9). Av dessa är 9 rödlistade. För rödlistade arter har rödlistekategorin angivits inom parentes. Arter som är signalarter enligt Skogsstyrelsen har markerats med (S). För fridlysta arter anges även paragrafen i Artskyddsförordningen som arten är fridlyst enligt.</w:t>
      </w:r>
    </w:p>
    <w:p>
      <w:r>
        <w:t>De påträffade naturvårdsarterna är ett tydligt kvitto på att detta rör sig om en skog med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4718422"/>
            <wp:docPr id="1" name="Picture 1"/>
            <wp:cNvGraphicFramePr>
              <a:graphicFrameLocks noChangeAspect="1"/>
            </wp:cNvGraphicFramePr>
            <a:graphic>
              <a:graphicData uri="http://schemas.openxmlformats.org/drawingml/2006/picture">
                <pic:pic>
                  <pic:nvPicPr>
                    <pic:cNvPr id="0" name="A 11562-2024 karta.png"/>
                    <pic:cNvPicPr/>
                  </pic:nvPicPr>
                  <pic:blipFill>
                    <a:blip r:embed="rId16"/>
                    <a:stretch>
                      <a:fillRect/>
                    </a:stretch>
                  </pic:blipFill>
                  <pic:spPr>
                    <a:xfrm>
                      <a:off x="0" y="0"/>
                      <a:ext cx="5486400" cy="4718422"/>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6568373, E 620010 i SWEREF 99 TM.</w:t>
      </w:r>
    </w:p>
    <w:p>
      <w:pPr>
        <w:pStyle w:val="Heading1"/>
      </w:pPr>
      <w:r>
        <w:t>Fridlysta arter</w:t>
      </w:r>
    </w:p>
    <w:p>
      <w:r>
        <w:t>Följande fridlysta arter har sina livsmiljöer och växtplatser i den avverkningsanmälda skogen: bombmurkla (VU, §8), knärot (VU, §8), grönsångare (NT, §4), nordfladdermus (NT, §4a), spillkråka (NT, §4), talltita (NT, §4), fiskgjuse (§4), tjäder (§4), blåsippa (§9), mattlummer (§9) och revlummer (§9).</w:t>
      </w:r>
    </w:p>
    <w:p>
      <w:r>
        <w:t xml:space="preserve">Observera att medlemsländerna är skyldiga att agera i enlighet med EU:s fågeldirektiv där det uttryckligen står att direktivet gäller för fåglar samt för deras ägg, bon och </w:t>
      </w:r>
      <w:r>
        <w:rPr>
          <w:b/>
        </w:rPr>
        <w:t xml:space="preserve">livsmiljöer </w:t>
      </w:r>
      <w:r>
        <w:t>(artikel 1). Vidare att de åtgärder som vidtas inte får leda till en försämring av den nuvarande situationen beträffande bevarandet av de fågelarter som avses i artikel 1 (artikel 13). Fågeldirektivet är styrande för tillsynsansvariga myndigheters ärendehantering, ställningstaganden och beslutsfattande.</w:t>
      </w:r>
    </w:p>
    <w:p>
      <w:r>
        <w:rPr>
          <w:b/>
        </w:rPr>
        <w:t xml:space="preserve">Bombmurkla (VU, §8) </w:t>
      </w:r>
      <w:r>
        <w:t>indikerar en speciell och hotad granskogstyp på naturligt näringsrika sandjordar och är placerad högst upp i Skogsstyrelsens värdepyramid för bedömning av skog med höga naturvärden. Den tål inte slutavverkning eller kraftig gallring och är endast påträffad i områden som har långvarig skogskontinuitet med gran. Bombmurkla är fridlyst enligt 8 § artskyddsförordningen, omfattas av åtgärdsprogram för hotade arter (ÅGP) och är globalt rödlistad som nära hotad (NT). Sverige har ojämförligt flest växtplatser kvar av den europeiska populationen, vilket medför att vårt land har ett internationellt ansvar för artens fortlevnad (IUCN, 2024; SLU Artdatabanken, 2024; Nitare &amp; Skogsstyrelsen, 2019; Naturvårdsverket, 2010).</w:t>
      </w:r>
    </w:p>
    <w:p>
      <w:r>
        <w:rPr>
          <w:b/>
        </w:rPr>
        <w:t>Knärot (VU, §8)</w:t>
      </w:r>
      <w:r>
        <w:t xml:space="preserve"> är rödlistad som sårbar (VU). För att knärot inte ska ta skada av skogsbruksåtgärder i intilliggande skog krävs buffertzoner på minst 50 meter (Johnson, 2014; Koelmeijer m.fl., 2022; Skogsstyrelsen, 2022). Arten är även känslig för gallring vilket framgår av Skogsstyrelsens egen vägledning för hänsyn till knärot (Skogsstyrelsen, 2022). För rika förekomster av knärot är reservatsbildning eller biotopskydd lämpliga åtgärder för att skydda den (SLU Artdatabanken, 2023).</w:t>
      </w:r>
    </w:p>
    <w:p>
      <w:r>
        <w:t>I det avverkningsanmälda området finns 62 fyndplatser för knärot registrerade på Artportalen. Figur 2 visar gränserna för buffertzoner på 50 m, som behöver lämnas kring fyndplatserna för att knärotslokalerna inte ska försvinna vid en avverkning. Av det avverkningsanmälda området överlappar 15.63 ha med buffertzonerna och får av detta skäl inte avverkas.</w:t>
      </w:r>
    </w:p>
    <w:p>
      <w:pPr>
        <w:pStyle w:val="Caption"/>
      </w:pPr>
      <w:r>
        <w:drawing>
          <wp:inline xmlns:a="http://schemas.openxmlformats.org/drawingml/2006/main" xmlns:pic="http://schemas.openxmlformats.org/drawingml/2006/picture">
            <wp:extent cx="5486400" cy="5857894"/>
            <wp:docPr id="2" name="Picture 2"/>
            <wp:cNvGraphicFramePr>
              <a:graphicFrameLocks noChangeAspect="1"/>
            </wp:cNvGraphicFramePr>
            <a:graphic>
              <a:graphicData uri="http://schemas.openxmlformats.org/drawingml/2006/picture">
                <pic:pic>
                  <pic:nvPicPr>
                    <pic:cNvPr id="0" name="A 11562-2024 karta knärot.png"/>
                    <pic:cNvPicPr/>
                  </pic:nvPicPr>
                  <pic:blipFill>
                    <a:blip r:embed="rId17"/>
                    <a:stretch>
                      <a:fillRect/>
                    </a:stretch>
                  </pic:blipFill>
                  <pic:spPr>
                    <a:xfrm>
                      <a:off x="0" y="0"/>
                      <a:ext cx="5486400" cy="5857894"/>
                    </a:xfrm>
                    <a:prstGeom prst="rect"/>
                  </pic:spPr>
                </pic:pic>
              </a:graphicData>
            </a:graphic>
          </wp:inline>
        </w:drawing>
      </w:r>
    </w:p>
    <w:p>
      <w:pPr>
        <w:pStyle w:val="Caption"/>
      </w:pPr>
      <w:r>
        <w:t>Figur 2. Fyndplatser och buffertzoner för knärot i det avverkningsanmälda området. Endast fyndplatser vars buffertzoner överlappar med det avverkningsanmälda området har tagits med i visualiseringen. Kartans mittpunktskoordinat är N 6568373, E 620010 i SWEREF 99 TM.</w:t>
      </w:r>
    </w:p>
    <w:p>
      <w:pPr>
        <w:pStyle w:val="Caption"/>
      </w:pPr>
    </w:p>
    <w:p>
      <w:r>
        <w:rPr>
          <w:b/>
        </w:rPr>
        <w:t>Spillkråka (NT, §4)</w:t>
      </w:r>
      <w:r>
        <w:t xml:space="preserve"> är rödlistad som nära hotad och ingår i bilaga 1 i EU:s fågeldirektiv. Den minskar i population på grund av minskad tillgång på lämpliga bo- och födoträd och minskad födotillgång. Spillkråkans minskningstakt har uppgått till 19 (24–10) % under de senaste 15 åren. Minskningstakten för den svenska populationen bedöms vara nära gränsvärdet för Sårbar (VU) (A2bc). Skogsbruk med korta omloppstider och täta, homogena ungskogar utgör det största hotet, (SLU Artdatabanken, 2023).</w:t>
      </w:r>
    </w:p>
    <w:p>
      <w:r>
        <w:rPr>
          <w:b/>
        </w:rPr>
        <w:t>Talltita (NT, §4)</w:t>
      </w:r>
      <w:r>
        <w:t>, rödlistad som nära hotad och prioriterad art i Skogsvårdslagen har häckningsrevir i anmälan. Arten har minskat kraftigt de senaste 30 åren och minskningstakten innevarande 10-årsperiod beräknas till 20 (10–30) %. Talltitan är synnerligen trogen sitt cirka 15 hektar stora revir och är beroende av flerskiktade olikåldriga skogar för att kunna föda upp sina ungar. Talltitan försvinner om dess livsmiljö kalavverkas (Eggers &amp; Low (2014); Ekman (1979); Griesser et al (2007); Klein (2020); Siffczyk et al (2003); SLU Artdatabanken (2021).</w:t>
      </w:r>
    </w:p>
    <w:p>
      <w:r>
        <w:t>I BILAGA 1 finns mer detaljerad information om ekologi samt krav på livsmiljö hos fridlysta arter.</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r>
        <w:rPr>
          <w:i/>
        </w:rPr>
        <w:t xml:space="preserve"> EU:s medlemsländer och skogsbolag är skyldiga att agera i enlighet med EU:s fågeldirektiv där det uttryckligen står att direktivet gäller för fåglar samt för deras ägg, bon och </w:t>
      </w:r>
      <w:r>
        <w:rPr>
          <w:b/>
          <w:i/>
        </w:rPr>
        <w:t xml:space="preserve">livsmiljöer </w:t>
      </w:r>
      <w:r>
        <w:t>(artikel 1). Vidare att de åtgärder som vidtas inte får leda till en försämring av den nuvarande situationen beträffande bevarandet av de fågelarter som avses i artikel 1 (artikel 13).</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20 naturvårdsarter varav 9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p>
      <w:r>
        <w:br w:type="page"/>
      </w:r>
    </w:p>
    <w:p>
      <w:pPr>
        <w:pStyle w:val="Title"/>
      </w:pPr>
      <w:r>
        <w:t>BILAGA 1 – Fridlysta arter</w:t>
      </w:r>
    </w:p>
    <w:p>
      <w:pPr>
        <w:pStyle w:val="Heading1"/>
      </w:pPr>
      <w:r>
        <w:t>Knärot – ekologi samt krav på livsmiljön</w:t>
      </w:r>
    </w:p>
    <w:p>
      <w:r>
        <w:t>Knärot är fridlyst enligt 8 och 15 §§ artskyddsförordningen och klassad som sårbar (VU) enligt rödlistan 2020. Knärot är beroende av hög och jämn luftfuktighet i gamla, ostörda skogsmiljöer och är känslig för snabba förändringar av ljus-/vindförhållanden eller uttorkning. På grund av ett alltför intensivt skogsbruk har den minskat med 40 (25–50) % under de senaste 60 åren och i framtiden bedöms minskningstakten uppgå till 30 (20–40) %. Till följd av att arten har en dokumenterat högre minskningstakt i förhållande till sin generationstid än vad som tidigare varit känt (data från Riksskogstaxeringen) höjdes den till hotkategori sårbar (VU) i rödlistan 2020 (SLU Artdatabanken, 2021).</w:t>
      </w:r>
    </w:p>
    <w:p>
      <w:r>
        <w:t xml:space="preserve">Samuel Johnsons doktorsavhandling </w:t>
      </w:r>
      <w:r>
        <w:rPr>
          <w:i/>
        </w:rPr>
        <w:t>“Retention Forestry as a Conservation Measure for Boreal Forest Ground Vegetation”</w:t>
      </w:r>
      <w:r>
        <w:t xml:space="preserve"> (SLU, Uppsala 2014) visar att det krävs väl tilltagna skyddszoner för att knärotens växtplatser inte ska ta skada av skogsbruksåtgärder i intilliggande områden: </w:t>
      </w:r>
      <w:r>
        <w:rPr>
          <w:i/>
        </w:rPr>
        <w:t xml:space="preserve">“Study III shows that retention patches smaller than 0.5 ha do not lifeboat the sensitive forest herb G. repens, a species that depend on stable microclimatic conditions typical for intact forest stands.” </w:t>
      </w:r>
      <w:r>
        <w:t xml:space="preserve">Vidare </w:t>
      </w:r>
      <w:r>
        <w:rPr>
          <w:i/>
        </w:rPr>
        <w:t>“More sensitive forest species are not lifeboated in retention patches ranging from 0.05 to 0.5 ha (Papers II &amp; III).”</w:t>
      </w:r>
    </w:p>
    <w:p>
      <w:r>
        <w:t xml:space="preserve">Johnsons (2014) rekommendation på minst 50 meters breda skyddszoner runt knärotens växtplatser motsvarar en areal på 0,78 hektar, vilket ligger i linje med andra studier som gjorts på känsliga skogsarter: </w:t>
      </w:r>
      <w:r>
        <w:rPr>
          <w:i/>
        </w:rPr>
        <w:t>“In study III I also show that translocated specimens of G. repens survives well in mature forests at least 50 m from the nearest edge to an open area. Moreover, measures of temperature and humidity show that such distances from an open area is far enough to offer a microclimate that is more stable compared to what present in retention patches of around 0.1 ha. This means that the very centre of a circular patch with radius 50 m (equals a size of 0.78 ha) should offer conditions similar to interior forest and would perhaps be a suitable habitat for G. repens and similar species. Previous studies from both North America and Sweden have also concluded that patches between 0.5 and one ha are sufficient for preserving interior forest vegetation as well as sensitive lichens and bryophytes (de Graaf &amp; Roberts 2009; Halpern et al. 2012; Rudolphi et al. 2014).”</w:t>
      </w:r>
    </w:p>
    <w:p>
      <w:r>
        <w:t>En nyligen publicerad vetenskaplig uppsats av Koelmeijer m.fl. (2022) inkluderar orkidén knärots skyddsbehov. I uppsatsen berörs problemet med uttorkning för växter, bl.a. för knärot, ett problem som blivit accentuerat på grund av den pågående klimatförändringen och torra somrar, t.ex. den exceptionellt torra sommaren 2018. I uppsatsen undersöks områden med tre olika avstånd från kalhyggeskant med avseende på skydd bl.a. för knärot. Det första området har avstånd upp till 20 m från hyggeskant (Strong edge effect), det andra 20–40 m från hyggeskant (Weak edge effect) och det tredje avser större avstånd från hyggeskant, där kanteffekten anses vara försumbar (Interior). Ett resultat var att man fann stor eller mycket stor uttorkningseffekt på känsliga och rödlistade skogsarter vid de kortare avstånden till hyggeskant, medan effekt av uttorkning inte konstaterades på större avstånd (Interior). För orkidén knärot fann man en rik förekomst (upp till 0,06 dm2/m2) på stort avstånd från hyggeskant (Interior), medan förekomsten var liten eller närmast försumbar i de områden som klassificerades som Weak edge effect respektive Strong edge effect. Arbetet påpekar att de allt oftare förekommande torra somrarna ger ytterligare skäl att utöka skyddsavståndet från hyggen till den fuktkrävande arten knärot (Koelmeijer m.fl., 2022).</w:t>
      </w:r>
    </w:p>
    <w:p>
      <w:r>
        <w:t>Även Skogsstyrelsens egen vägledning för hänsyn till knärot ligger i linje med ovanstående forskningsstudier. Av vägledningen framgår det att för med hög sannolikhet kunna bevara befintliga förekomster krävs relativt stora avsättningar av uppvuxen skog med slutet och relativt tätt kronskikt. Som riktlinje kan krävas ett avstånd på 50 meter in från brynet för att vidmakthålla ett fungerande mikroklimat. Detta innebär att fristående hänsynsytor för många arter (kärlväxter, lavar och mossor) kan behöva ha en area överstigande 0,8 hektar (cirkelyta med radien 50 meter = 0,78 hektar) för att bibehålla lokalklimatet. Även ganska små förändringar i form av förändrade ljus- och fuktighetsförhållanden, till exempel till följd av gallring, kan leda till att arten försvinner till följd av konkurrens med mera ljuskrävande och snabbväxande arter (Skogsstyrelsen, 2022).</w:t>
      </w:r>
    </w:p>
    <w:p>
      <w:pPr>
        <w:pStyle w:val="Heading2"/>
      </w:pPr>
      <w:r>
        <w:t>Referenser – knärot</w:t>
      </w:r>
    </w:p>
    <w:p>
      <w:r>
        <w:t xml:space="preserve">de Graaf M &amp; Roberts M.R., 2009. </w:t>
      </w:r>
      <w:r>
        <w:rPr>
          <w:i/>
        </w:rPr>
        <w:t xml:space="preserve">Short-term response of the herbaceous layer within leave patches after harvest. </w:t>
      </w:r>
      <w:r>
        <w:t>Forest Ecology and Management 257, 1014–1025</w:t>
      </w:r>
    </w:p>
    <w:p>
      <w:r>
        <w:t xml:space="preserve">Halpern, C. B., Halaj, J., Evans, S. A., &amp; Dovciak, M., 2012. </w:t>
      </w:r>
      <w:r>
        <w:rPr>
          <w:i/>
        </w:rPr>
        <w:t xml:space="preserve">Level and pattern of overstory retention interact to shape long-term responses of understories to timber harvest. </w:t>
      </w:r>
      <w:r>
        <w:t xml:space="preserve">Ecological Applications, 22, 2049–2064 </w:t>
      </w:r>
    </w:p>
    <w:p>
      <w:r>
        <w:t xml:space="preserve">Koelmeijer, I. A., Ehrlén, J., Jönsson, M., De Frenne, P., Berg, P., Andersson, J., Weibull, H. &amp; Hylander, N. 2022. </w:t>
      </w:r>
      <w:r>
        <w:rPr>
          <w:i/>
        </w:rPr>
        <w:t xml:space="preserve">Interactive effects of drought and edge exposure on old-growth forest understory species. </w:t>
      </w:r>
      <w:r>
        <w:t>Landscape Ecology, 37, sid 1839–1853</w:t>
      </w:r>
    </w:p>
    <w:p>
      <w:r>
        <w:t xml:space="preserve">Rudolphi, J., Jönsson, M. T., &amp; Gustafsson, L., 2014. </w:t>
      </w:r>
      <w:r>
        <w:rPr>
          <w:i/>
        </w:rPr>
        <w:t xml:space="preserve">Biological legacies buffer local species extinction after logging. </w:t>
      </w:r>
      <w:r>
        <w:t>Journal of Applied Ecology. 51, 53–62.</w:t>
      </w:r>
    </w:p>
    <w:p>
      <w:r>
        <w:t xml:space="preserve">Skogsstyrelsen, 2022. </w:t>
      </w:r>
      <w:r>
        <w:rPr>
          <w:i/>
        </w:rPr>
        <w:t xml:space="preserve">Vägledning för hänsyn till knärot. </w:t>
      </w:r>
      <w:r>
        <w:t>https://www.skogsstyrelsen.se/lag-och-tillsyn/artskydd/vagledningar-och-kunskapsstod-artskydd/vagledning-for-hansyn-till-knarot/</w:t>
      </w:r>
    </w:p>
    <w:p>
      <w:r>
        <w:t xml:space="preserve">SLU Artdatabanken, 2021. </w:t>
      </w:r>
      <w:r>
        <w:rPr>
          <w:i/>
        </w:rPr>
        <w:t xml:space="preserve">Artfaktablad. Naturvård – artfakta. </w:t>
      </w:r>
      <w:r>
        <w:t>SLU Artdatabanken, Uppsala</w:t>
      </w:r>
    </w:p>
    <w:p>
      <w:pPr>
        <w:pStyle w:val="Heading1"/>
      </w:pPr>
      <w:r>
        <w:t>Spillkråka – ekologi samt krav på livsmiljön</w:t>
      </w:r>
    </w:p>
    <w:p>
      <w:r>
        <w:t>Spillkråka (NT) är rödlistad som nära hotad, fridlyst enligt §4 Artskyddsförordningen och ingår i bilaga 1 i EU:s fågeldirektiv. Spillkråka lever i både barr- och blandskog liksom i ren lövskog. De tätaste populationerna tenderar att finnas i äldre, variationsrik blandskog med gott om död ved och gamla träd.</w:t>
      </w:r>
    </w:p>
    <w:p>
      <w:r>
        <w:t>Varje par utnyttjar 400–1000 hektar skog beroende på skogens kvalitet. En minskning av populationen pågår på grund av minskad tillgång på lämpliga bo- och födoträd och minskad födotillgång. Spillkråkans minskningstakt har uppgått till 19 (24–10) % under de senaste 15 åren. Minskningstakten för den svenska populationen bedöms vara nära gränsvärdet för Sårbar (VU) (A2bc). Skogsbruk med korta omloppstider och täta, homogena ungskogar utgör det största hotet (Artdatabanken 2023).</w:t>
      </w:r>
    </w:p>
    <w:p>
      <w:pPr>
        <w:pStyle w:val="Heading2"/>
      </w:pPr>
      <w:r>
        <w:t>Referenser – spillkråka</w:t>
      </w:r>
    </w:p>
    <w:p>
      <w:r>
        <w:t xml:space="preserve">SLU Artdatabanken, 2021. </w:t>
      </w:r>
      <w:r>
        <w:rPr>
          <w:i/>
        </w:rPr>
        <w:t xml:space="preserve">Artfaktablad. Naturvård – artfakta. </w:t>
      </w:r>
      <w:r>
        <w:t>SLU Artdatabanken, Uppsala</w:t>
      </w:r>
    </w:p>
    <w:p>
      <w:pPr>
        <w:pStyle w:val="Heading1"/>
      </w:pPr>
      <w:r>
        <w:t>Talltita – ekologi samt krav på livsmiljön</w:t>
      </w:r>
    </w:p>
    <w:p>
      <w:r>
        <w:t xml:space="preserve">Talltita är rödlistad som NT, fridlyst och prioriterad art i Skogsvårdslagen. Den omfattas av EU:s fågeldirektiv. Arten har minskat kraftigt de senaste 30 åren och minskningstakten innevarande 10-årsperiod beräknas till 20 (10–30) % (SLU Artdatabanken, 2022). </w:t>
      </w:r>
    </w:p>
    <w:p>
      <w:r>
        <w:t>Talltita föredrar större sammanhängande barrskogar, och finns såväl i tallskog som granskog och i lövblandad barrskog. Skogens struktur är viktig och ska helst vara flerskiktad med riklig underväxt av mindre granar, björk och andra lövträd och buskar. Tillgång på murknande högstubbar är särskilt viktig, eftersom talltitan helst själv hackar ut sitt bohål (SLU Artdatabanken, 2022).</w:t>
      </w:r>
    </w:p>
    <w:p>
      <w:r>
        <w:t>Det finns flera studier som visar att talltita är känslig för gallring och inte överlever när dess livsmiljö kalavverkas (Eggers and Low, 2014; Griesser et al., 2007; Klein, 2020). Talltitans revir är förhållandevis stora, 10–20 hektar och arten missgynnas när skogen fragmenteras. Kalavverkning av större delar av reviret innebär att det överges (Artdatabanken, 2021).</w:t>
      </w:r>
    </w:p>
    <w:p>
      <w:r>
        <w:t>Talltitan är synnerligen trogen sitt revir så länge paret lever och biotopen förblir intakt. Paret stannar i sitt revir året om. En förlust av ett revir har därför en stor inverkan på den lokala populationen och trakthyggesbruket anses vara orsak till den svenska populationens kraftiga minskning. Talltiteparets revirtrohet innebär att närhelst under året man observerar en adult talltita så ingår denna plats i reviret (Siffczyk et al., 2003; Ekman, 1979).</w:t>
      </w:r>
    </w:p>
    <w:p>
      <w:pPr>
        <w:pStyle w:val="Heading2"/>
      </w:pPr>
      <w:r>
        <w:t>Referenser – talltita</w:t>
      </w:r>
    </w:p>
    <w:p>
      <w:r>
        <w:t xml:space="preserve">Eggers, S., Low, M., 2014. </w:t>
      </w:r>
      <w:r>
        <w:rPr>
          <w:i/>
        </w:rPr>
        <w:t xml:space="preserve">Differential demographic responses of sympatric Parids to vegetation management in boreal forest. </w:t>
      </w:r>
      <w:r>
        <w:t xml:space="preserve">For. Ecol. Manage. 319, 169–175. </w:t>
      </w:r>
    </w:p>
    <w:p>
      <w:r>
        <w:t xml:space="preserve">Ekman, J., 1979. </w:t>
      </w:r>
      <w:r>
        <w:rPr>
          <w:i/>
        </w:rPr>
        <w:t xml:space="preserve">Coherence, composition and territories of winter social groups of the Willow Tit Parus montanus and the Crested Tit P. cristatus. </w:t>
      </w:r>
      <w:r>
        <w:t xml:space="preserve">Ornis Scandinavica, 10, pp 56–68 </w:t>
      </w:r>
    </w:p>
    <w:p>
      <w:r>
        <w:t xml:space="preserve">Griesser, M., Nystrand, M., Eggers, S., Ekman, J., 2007. </w:t>
      </w:r>
      <w:r>
        <w:rPr>
          <w:i/>
        </w:rPr>
        <w:t xml:space="preserve">Impact of forestry practices on fitness correlates and population productivity in an open-nesting bird species. </w:t>
      </w:r>
      <w:r>
        <w:t xml:space="preserve">Conserv. Biol. 21, 767–774. https://doi.org/10.1111/j.1523- 1739.2007.00675.x </w:t>
      </w:r>
    </w:p>
    <w:p>
      <w:r>
        <w:t xml:space="preserve">Klein, J., 2020. </w:t>
      </w:r>
      <w:r>
        <w:rPr>
          <w:i/>
        </w:rPr>
        <w:t xml:space="preserve">The forgotten forest – On thinning, retention, and biodiversity in the boreal forest. </w:t>
      </w:r>
      <w:r>
        <w:t>Doctoral Thesis No. 2020:50</w:t>
      </w:r>
    </w:p>
    <w:p>
      <w:r>
        <w:t xml:space="preserve">Siffczyk, C., Brotons, L., Kangas, K., Orell, M., 2003. </w:t>
      </w:r>
      <w:r>
        <w:rPr>
          <w:i/>
        </w:rPr>
        <w:t xml:space="preserve">Home range size of willow tits. </w:t>
      </w:r>
      <w:r>
        <w:t>Oecologica, 136, 635–642 (2003)</w:t>
      </w:r>
    </w:p>
    <w:p>
      <w:r>
        <w:t xml:space="preserve">SLU Artdatabanken, 2021. </w:t>
      </w:r>
      <w:r>
        <w:rPr>
          <w:i/>
        </w:rPr>
        <w:t xml:space="preserve">Artfaktablad. Naturvård – artfakta. </w:t>
      </w:r>
      <w:r>
        <w:t>SLU Artdatabanken, Uppsala</w:t>
      </w:r>
    </w:p>
    <w:p>
      <w:pPr>
        <w:pStyle w:val="Heading1"/>
      </w:pPr>
      <w:r>
        <w:t>Tjäder – ekologi samt krav på livsmiljön</w:t>
      </w:r>
    </w:p>
    <w:p>
      <w:r>
        <w:t>Tjäder (§4) är en utpräglad skogsfågel knuten till större sammanhängande barrskogsområden. Tupparna och hönorna utnyttjar till viss del olika miljöer, och habitatvalet varierar dessutom mellan olika delar av året. För att det ska finnas livskraftiga tjäderbestånd krävs funktionella skogslandskap med en blandning av uppvuxen, gles och luckig skog, täta sumpskogar, myrar och andra små våtmarker.</w:t>
      </w:r>
    </w:p>
    <w:p>
      <w:r>
        <w:t>Arten försvinner när skogen fragmenteras och den sammanlagda arealen hyggen och andra öppna områden blir för stor. Ett småskaligt och försiktigt virkesuttag genom hyggesfria metoder kan i vissa fall vara möjligt i området inom 200 m från lekcentrum. Längre ut från lekcentrum, inom 200–500 m bör den avverkade ytan inte överskrida 1 hektar för att undvika alltför stora och snabba förändringar.</w:t>
      </w:r>
    </w:p>
    <w:p>
      <w:pPr>
        <w:pStyle w:val="Heading2"/>
      </w:pPr>
      <w:r>
        <w:t>Referenser – tjäder</w:t>
      </w:r>
    </w:p>
    <w:p>
      <w:r>
        <w:t xml:space="preserve">Skogsstyrelsen, 2019. </w:t>
      </w:r>
      <w:r>
        <w:rPr>
          <w:i/>
        </w:rPr>
        <w:t xml:space="preserve">Vägledning för hänsyn till fåglar – tjäder. </w:t>
      </w:r>
      <w:r>
        <w:t>https://www.skogsstyrelsen.se/globalassets/lag-och-tillsyn/artskydd/vagledningar-for-hansyn-till-faglar/tjader-vagledning-hansyn2.pdf</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2025-02-21</w:t>
      <w:br/>
      <w:br/>
    </w:r>
    <w:r>
      <w:t>Till:</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 Id="rId17"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