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41222-2025 i Strängnäs kommun</w:t>
      </w:r>
    </w:p>
    <w:p>
      <w:r>
        <w:t>Detta klagomål behandlar höga naturvärden i avverkningsanmälan A 41222-2025 i Strängnäs kommun som inkom 2025-08-29 och omfattar 11,9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6586880, E 623602 i SWEREF 99 TM.</w:t>
      </w:r>
    </w:p>
    <w:p>
      <w:r>
        <w:t>I och inom 15 meter från avverkningsanmälan finns fynd av 16 naturvårdsarter, varav 6 är rödlistade, 6 är fridlysta, 1 är typisk (T) och 8 är signalarter (S): backklöver (NT), grönsångare (NT, §4), gulsparv (NT, §4), rökfingersvamp (NT), silltrut (NT, §4), skrattmås (NT, §4), blodvaxing (S), gråvaxing (S), gulvaxing (S), mindre märgborre (S, T), småvaxing (S), toppvaxing (S), ängsfingersvamp (S), ängsvaxing agg. (S), gröngöling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