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3784-2025 i Strängnäs kommun</w:t>
      </w:r>
    </w:p>
    <w:p>
      <w:r>
        <w:t>Denna tillsynsbegäran behandlar höga naturvärden i avverkningsanmälan A 3784-2025 i Strängnäs kommun som inkom 2025-01-24 och omfattar 6,8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784-2025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6598638, E 612802 i SWEREF 99 TM.</w:t>
      </w:r>
    </w:p>
    <w:p>
      <w:r>
        <w:t>I avverkningsanmälan finns fynd av 21 naturvårdsarter, varav 13 är rödlistade, 21 är fridlysta och 2 är typiska (T): grönfink (VU, §4), stare (VU, §4), tofsvipa (VU, §4), tornseglare (VU, §4), björktrast (NT, §4), entita (NT, T, §4), gulsparv (NT, §4), ladusvala (NT, §4), mindre hackspett (NT, T, §4), rödvingetrast (NT, §4), rörsångare (NT, §4), skrattmås (NT, §4), sädesärla (NT, §4), fiskgjuse (§4), gröngöling (§4), grönsiska (§4), havsörn (§4), kråka (§4), kungsfågel (§4), näktergal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