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9237-2023 i Strängnäs kommun</w:t>
      </w:r>
    </w:p>
    <w:p>
      <w:r>
        <w:t>Denna tillsynsbegäran behandlar höga naturvärden i avverkningsanmälan A 9237-2023 i Strängnäs kommun som inkom 2023-02-23 och omfattar 1,0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9237-2023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6592373, E 624038 i SWEREF 99 TM.</w:t>
      </w:r>
    </w:p>
    <w:p>
      <w:r>
        <w:t>Inom 7 meter från avverkningsanmälan finns fynd av 18 naturvårdsarter, varav 7 är rödlistade, 18 är fridlysta och 2 är typiska (T): havstrut (EN, §4), gråtrut (VU, §4), grönfink (VU, §4), tofsvipa (VU, §4), entita (NT, T, §4), gulsparv (NT, §4), skrattmås (NT, §4), spillkråka (T, §4), gröngöling (§4), grönsiska (§4), havsörn (§4), kråka (§4), salskrake (§4), skogsduva (§4), sävsparv (§4), sångsvan (§4), trana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