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165-2024 i Strängnäs kommun</w:t>
      </w:r>
    </w:p>
    <w:p>
      <w:r>
        <w:t>Denna tillsynsbegäran behandlar höga naturvärden i samrådsanmälan S 165-2024 i Strängnäs kommun som inkom 2024-01-19 och omfattar 1,8 ha.</w:t>
      </w:r>
    </w:p>
    <w:p>
      <w:pPr>
        <w:pStyle w:val="Caption"/>
      </w:pPr>
      <w:r>
        <w:drawing>
          <wp:inline xmlns:a="http://schemas.openxmlformats.org/drawingml/2006/main" xmlns:pic="http://schemas.openxmlformats.org/drawingml/2006/picture">
            <wp:extent cx="5486400" cy="4780067"/>
            <wp:docPr id="1" name="Picture 1"/>
            <wp:cNvGraphicFramePr>
              <a:graphicFrameLocks noChangeAspect="1"/>
            </wp:cNvGraphicFramePr>
            <a:graphic>
              <a:graphicData uri="http://schemas.openxmlformats.org/drawingml/2006/picture">
                <pic:pic>
                  <pic:nvPicPr>
                    <pic:cNvPr id="0" name="S 165-2024 karta.png"/>
                    <pic:cNvPicPr/>
                  </pic:nvPicPr>
                  <pic:blipFill>
                    <a:blip r:embed="rId16"/>
                    <a:stretch>
                      <a:fillRect/>
                    </a:stretch>
                  </pic:blipFill>
                  <pic:spPr>
                    <a:xfrm>
                      <a:off x="0" y="0"/>
                      <a:ext cx="5486400" cy="4780067"/>
                    </a:xfrm>
                    <a:prstGeom prst="rect"/>
                  </pic:spPr>
                </pic:pic>
              </a:graphicData>
            </a:graphic>
          </wp:inline>
        </w:drawing>
      </w:r>
    </w:p>
    <w:p>
      <w:pPr>
        <w:pStyle w:val="Caption"/>
        <w:spacing w:after="240"/>
      </w:pPr>
      <w:r>
        <w:t>Figur 1. Fyndplatser för naturvårdsarter inom 18 meter från samrådsanmälan. Markörer utan svart kant är placerade på fyndplatsen. Markörer med svart kant är placerade vid sidan av fyndplatsen och har ett svart streck som visar fyndplatsens exakta position. Kartans mittpunktskoordinat är N 6592897, E 604322 i SWEREF 99 TM.</w:t>
      </w:r>
    </w:p>
    <w:p>
      <w:r>
        <w:t>Inom 18 meter från samrådsanmälan finns fynd av 2 naturvårdsarter, varav 2 är fridlysta: gröngöling (§4) och mistel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Mistel (§8)</w:t>
      </w:r>
      <w:r>
        <w:t xml:space="preserve"> är en trädlevande parasit som växer framförallt på lind och lönn, men även på andra träd som äppelträd, hagtorn och popplar. Lindbestånd med förekomst av mistlar är värdefulla eftersom den vedstruktur som mistelangreppen skapar är attraktiva yngelplatser för flera sällsynta skalbaggsarter som omfattas av ett åtgärdsprogram för hotade arter (ÅGP). Bland dessa kan nämnas lindgrengnagare (EN), lindskenknäppare (EN), ögonfläcksbock (EN) och lindfläckbock (VU). Träden bör vara över 150 år för att hysa arterna som dessutom är beroende av död lindved. Mistel är fridlyst enligt 8§ artskyddsförordningen (SLU Artdatabanken, 2026; Naturvårdsverket, 2024; Ehnström, 2006).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