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klagomål behandlar höga naturvärden i avverkningsanmälan A 50010-2023 i Strängnäs kommun som inkom 2023-10-16 och omfattar 5,6 ha.</w:t>
      </w:r>
    </w:p>
    <w:p>
      <w:pPr>
        <w:pStyle w:val="Caption"/>
      </w:pPr>
      <w:r>
        <w:drawing>
          <wp:inline xmlns:a="http://schemas.openxmlformats.org/drawingml/2006/main" xmlns:pic="http://schemas.openxmlformats.org/drawingml/2006/picture">
            <wp:extent cx="5486400" cy="5509118"/>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5091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6565435, E 625821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