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57157-2021 i Strängnäs kommun</w:t>
      </w:r>
    </w:p>
    <w:p>
      <w:r>
        <w:t>Detta dokument behandlar höga naturvärden i avverkningsanmälan A 57157-2021 i Strängnäs kommun. Denna avverkningsanmälan inkom 2021-10-13 00:00:00 och omfattar 1,2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nordfladdermus (NT, §4a), spillkråka (NT, §4), tallticka (NT), mindre märgborre (S) och mattlummer (§9).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155222"/>
            <wp:docPr id="1" name="Picture 1"/>
            <wp:cNvGraphicFramePr>
              <a:graphicFrameLocks noChangeAspect="1"/>
            </wp:cNvGraphicFramePr>
            <a:graphic>
              <a:graphicData uri="http://schemas.openxmlformats.org/drawingml/2006/picture">
                <pic:pic>
                  <pic:nvPicPr>
                    <pic:cNvPr id="0" name="A 57157-2021 karta.png"/>
                    <pic:cNvPicPr/>
                  </pic:nvPicPr>
                  <pic:blipFill>
                    <a:blip r:embed="rId16"/>
                    <a:stretch>
                      <a:fillRect/>
                    </a:stretch>
                  </pic:blipFill>
                  <pic:spPr>
                    <a:xfrm>
                      <a:off x="0" y="0"/>
                      <a:ext cx="5486400" cy="31552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6568320, E 619920 i SWEREF 99 TM.</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nordfladdermus (NT, §4a), spillkråka (NT, §4) och mattlummer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0.61 ha med buffertzonerna och får av detta skäl inte avverkas.</w:t>
      </w:r>
    </w:p>
    <w:p>
      <w:pPr>
        <w:pStyle w:val="Caption"/>
      </w:pPr>
      <w:r>
        <w:drawing>
          <wp:inline xmlns:a="http://schemas.openxmlformats.org/drawingml/2006/main" xmlns:pic="http://schemas.openxmlformats.org/drawingml/2006/picture">
            <wp:extent cx="5486400" cy="3613573"/>
            <wp:docPr id="2" name="Picture 2"/>
            <wp:cNvGraphicFramePr>
              <a:graphicFrameLocks noChangeAspect="1"/>
            </wp:cNvGraphicFramePr>
            <a:graphic>
              <a:graphicData uri="http://schemas.openxmlformats.org/drawingml/2006/picture">
                <pic:pic>
                  <pic:nvPicPr>
                    <pic:cNvPr id="0" name="A 57157-2021 karta knärot.png"/>
                    <pic:cNvPicPr/>
                  </pic:nvPicPr>
                  <pic:blipFill>
                    <a:blip r:embed="rId17"/>
                    <a:stretch>
                      <a:fillRect/>
                    </a:stretch>
                  </pic:blipFill>
                  <pic:spPr>
                    <a:xfrm>
                      <a:off x="0" y="0"/>
                      <a:ext cx="5486400" cy="361357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6568320, E 619920 i SWEREF 99 TM.</w:t>
      </w:r>
    </w:p>
    <w:p>
      <w:pPr>
        <w:pStyle w:val="Caption"/>
      </w:pPr>
    </w:p>
    <w:p>
      <w:r>
        <w:rPr>
          <w:b/>
        </w:rPr>
        <w:t>Nordfladdermus (NT, §4a)</w:t>
      </w:r>
      <w:r>
        <w:t xml:space="preserve"> omfattas av bilaga 4 EU:s art- och habitatdirektiv vilket innebär ett strikt skydd där arten och dess livsmiljöer ska bevaras. 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Nordfladdermus har minskat med 27,5 (5–50) % under de senaste 21 åren och minskningstakten för den svenska populationen bedöms vara nära gränsvärdet för Sårbar (VU). (A2bc) (SLU Artdatabanken, 2024; Skogsstyrelsen, 2016).</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3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Nordfladdermus – ekologi samt krav på livsmiljön</w:t>
      </w:r>
    </w:p>
    <w:p>
      <w:r>
        <w:t>Nordfladdermus (NT, §4a) omfattas av bilaga 4 EU:s art- och habitatdirektiv vilket innebär ett strikt skydd för arten och dess livsmiljöer. Arten har minskat med 27,5 (5–50) % under de senaste 21 åren och minskningstakten för den svenska populationen bedöms vara nära gränsvärdet för Sårbar (VU). (A2bc) (SLU Artdatabanken, 2024).</w:t>
      </w:r>
    </w:p>
    <w:p>
      <w:r>
        <w:t>Nordfladdermus föredrar variationsrik skog med förekomst av sjöar, vattendrag och våtmarker och hittas framförallt i halvöppna miljöer som trädbärande beteshagar och i kantzoner mellan skog och odlingsmark. Den undviker stora öppna områden som stora hyggen och större sammanhängande planteringar vilket minskar längden bryn och landskapets heterogenitet och därmed födotillgången och mängden lämpliga jaktplatser. Skogsbruksåtgärder som leder till minskad förekomst av äldre, gles skog och då särskilt tillgång på hålträd och träd med löst sittande bark kan leda till brist på koloniplatser och viloplatser (SLU Artdatabanken, 2024; Skogsstyrelsen, 2016).</w:t>
      </w:r>
    </w:p>
    <w:p>
      <w:r>
        <w:t>Fladdermöss är beroende av hänsyn på landskapsnivå och det är viktigt att alla typer av vatten och våtmarker samt fuktiga skogspartier återställs och bevaras. Sväm- och sumpskog ska alltid sparas, och äldre lövmiljöer bör alltid sparas för födosök, koloniplatser och viloplatser. Utöver kantzoner mot vatten och våtmarker bör tillräckligt breda skyddszoner av uppväxt skog sparas för att skapa och bevara vindskyddade födosöksmiljöer. Genom att binda samman befintliga skogsbestånd med korridorer av uppvuxen skog skapas ett fladdermusvänligt landskap (SLU Artdatabanken, 2024; Skogsstyrelsen, 2016).</w:t>
      </w:r>
    </w:p>
    <w:p>
      <w:pPr>
        <w:pStyle w:val="Heading2"/>
      </w:pPr>
      <w:r>
        <w:t>Referenser – nordfladdermus</w:t>
      </w:r>
    </w:p>
    <w:p>
      <w:r>
        <w:t xml:space="preserve">Skogsstyrelsen, 2016. </w:t>
      </w:r>
      <w:r>
        <w:rPr>
          <w:i/>
        </w:rPr>
        <w:t xml:space="preserve">Vägledning för hänsyn till nordfladdermus. </w:t>
      </w:r>
      <w:r>
        <w:t>Vägledningar och kunskapsstöd artskydd - Skogsstyrelsen</w:t>
      </w:r>
    </w:p>
    <w:p>
      <w:r>
        <w:t>SLU Artdatabanken, 2024.</w:t>
      </w:r>
      <w:r>
        <w:rPr>
          <w:i/>
        </w:rPr>
        <w:t xml:space="preserve">  Artfakta: nordfladdermus (Eptesicus nilssonii). </w:t>
      </w:r>
      <w:r>
        <w:t>https://artfakta.se/taxa/205998</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