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11565-2024 i Strängnäs kommun</w:t>
      </w:r>
    </w:p>
    <w:p>
      <w:r>
        <w:t>Detta dokument behandlar höga naturvärden i avverkningsanmälan A 11565-2024 i Strängnäs kommun. Denna avverkningsanmälan inkom 2024-03-22 och omfattar 6,3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motaggsvamp (NT), nordfladdermus (NT, §4a), orange taggsvamp (NT), spillkråka (NT, §4), blomkålssvamp (S), blåmossa (S), grönpyrola (S), mindre märgborre (S), nattskärra (§4)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6040"/>
            <wp:docPr id="1" name="Picture 1"/>
            <wp:cNvGraphicFramePr>
              <a:graphicFrameLocks noChangeAspect="1"/>
            </wp:cNvGraphicFramePr>
            <a:graphic>
              <a:graphicData uri="http://schemas.openxmlformats.org/drawingml/2006/picture">
                <pic:pic>
                  <pic:nvPicPr>
                    <pic:cNvPr id="0" name="A 11565-2024 karta.png"/>
                    <pic:cNvPicPr/>
                  </pic:nvPicPr>
                  <pic:blipFill>
                    <a:blip r:embed="rId16"/>
                    <a:stretch>
                      <a:fillRect/>
                    </a:stretch>
                  </pic:blipFill>
                  <pic:spPr>
                    <a:xfrm>
                      <a:off x="0" y="0"/>
                      <a:ext cx="5486400" cy="431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6568366, E 619458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Fridlysta arter</w:t>
      </w:r>
    </w:p>
    <w:p>
      <w:r>
        <w:t>Följande fridlysta arter har sina livsmiljöer och växtplatser i den avverkningsanmälda skogen: knärot (VU, §8), nordfladdermus (NT, §4a), spillkråka (NT, §4), nattskärra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5222113"/>
            <wp:docPr id="2" name="Picture 2"/>
            <wp:cNvGraphicFramePr>
              <a:graphicFrameLocks noChangeAspect="1"/>
            </wp:cNvGraphicFramePr>
            <a:graphic>
              <a:graphicData uri="http://schemas.openxmlformats.org/drawingml/2006/picture">
                <pic:pic>
                  <pic:nvPicPr>
                    <pic:cNvPr id="0" name="A 11565-2024 karta knärot.png"/>
                    <pic:cNvPicPr/>
                  </pic:nvPicPr>
                  <pic:blipFill>
                    <a:blip r:embed="rId17"/>
                    <a:stretch>
                      <a:fillRect/>
                    </a:stretch>
                  </pic:blipFill>
                  <pic:spPr>
                    <a:xfrm>
                      <a:off x="0" y="0"/>
                      <a:ext cx="5486400" cy="52221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6568366, E 619458 i SWEREF 99 TM.</w:t>
      </w:r>
    </w:p>
    <w:p>
      <w:pPr>
        <w:pStyle w:val="Caption"/>
      </w:pP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