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11562-2024 i Strängnäs kommun</w:t>
      </w:r>
    </w:p>
    <w:p>
      <w:r>
        <w:t>Detta dokument behandlar höga naturvärden i avverkningsanmälan A 11562-2024 i Strängnäs kommun. Denna avverkningsanmälan inkom 2024-03-22 och omfattar 30,6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21 naturvårdsarter hittats: bombmurkla (VU, §8), knärot (VU, §8), grönsångare (NT, §4), motaggsvamp (NT), nordfladdermus (NT, §4a), persiljespindling (NT), spillkråka (NT, §4), tallriska (NT), talltita (NT, §4), brandticka (S), fjällig taggsvamp s.str. (S), granbarkgnagare (S), grönpyrola (S), gullgröppa (S), mindre märgborre (S), rökmusseron (S), fiskgjuse (§4), tjäder (§4), blåsippa (§9), mattlummer (§9) och revlummer (§9).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18422"/>
            <wp:docPr id="1" name="Picture 1"/>
            <wp:cNvGraphicFramePr>
              <a:graphicFrameLocks noChangeAspect="1"/>
            </wp:cNvGraphicFramePr>
            <a:graphic>
              <a:graphicData uri="http://schemas.openxmlformats.org/drawingml/2006/picture">
                <pic:pic>
                  <pic:nvPicPr>
                    <pic:cNvPr id="0" name="A 11562-2024 karta.png"/>
                    <pic:cNvPicPr/>
                  </pic:nvPicPr>
                  <pic:blipFill>
                    <a:blip r:embed="rId16"/>
                    <a:stretch>
                      <a:fillRect/>
                    </a:stretch>
                  </pic:blipFill>
                  <pic:spPr>
                    <a:xfrm>
                      <a:off x="0" y="0"/>
                      <a:ext cx="5486400" cy="4718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6568373, E 620010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pPr>
        <w:pStyle w:val="Heading1"/>
      </w:pPr>
      <w:r>
        <w:t>Fridlysta arter</w:t>
      </w:r>
    </w:p>
    <w:p>
      <w:r>
        <w:t>Följande fridlysta arter har sina livsmiljöer och växtplatser i den avverkningsanmälda skogen: bombmurkla (VU, §8), knärot (VU, §8), grönsångare (NT, §4), nordfladdermus (NT, §4a), spillkråka (NT, §4), talltita (NT, §4), fiskgjuse (§4), tjäder (§4), blåsippa (§9), mattlummer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15.64 ha med buffertzonerna och får av detta skäl inte avverkas.</w:t>
      </w:r>
    </w:p>
    <w:p>
      <w:pPr>
        <w:pStyle w:val="Caption"/>
      </w:pPr>
      <w:r>
        <w:drawing>
          <wp:inline xmlns:a="http://schemas.openxmlformats.org/drawingml/2006/main" xmlns:pic="http://schemas.openxmlformats.org/drawingml/2006/picture">
            <wp:extent cx="5486400" cy="5857894"/>
            <wp:docPr id="2" name="Picture 2"/>
            <wp:cNvGraphicFramePr>
              <a:graphicFrameLocks noChangeAspect="1"/>
            </wp:cNvGraphicFramePr>
            <a:graphic>
              <a:graphicData uri="http://schemas.openxmlformats.org/drawingml/2006/picture">
                <pic:pic>
                  <pic:nvPicPr>
                    <pic:cNvPr id="0" name="A 11562-2024 karta knärot.png"/>
                    <pic:cNvPicPr/>
                  </pic:nvPicPr>
                  <pic:blipFill>
                    <a:blip r:embed="rId17"/>
                    <a:stretch>
                      <a:fillRect/>
                    </a:stretch>
                  </pic:blipFill>
                  <pic:spPr>
                    <a:xfrm>
                      <a:off x="0" y="0"/>
                      <a:ext cx="5486400" cy="585789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6568373, E 620010 i SWEREF 99 TM.</w:t>
      </w:r>
    </w:p>
    <w:p>
      <w:pPr>
        <w:pStyle w:val="Caption"/>
      </w:pP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21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