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2932-2024 i Strängnäs kommun</w:t>
      </w:r>
    </w:p>
    <w:p>
      <w:r>
        <w:t>Detta klagomål behandlar höga naturvärden i samrådsanmälan S 2932-2024 i Strängnäs kommun som inkom 2024-08-01 och omfattar 116,0 ha.</w:t>
      </w:r>
    </w:p>
    <w:p>
      <w:pPr>
        <w:pStyle w:val="Caption"/>
      </w:pPr>
      <w:r>
        <w:drawing>
          <wp:inline xmlns:a="http://schemas.openxmlformats.org/drawingml/2006/main" xmlns:pic="http://schemas.openxmlformats.org/drawingml/2006/picture">
            <wp:extent cx="4051773" cy="5724000"/>
            <wp:docPr id="1" name="Picture 1"/>
            <wp:cNvGraphicFramePr>
              <a:graphicFrameLocks noChangeAspect="1"/>
            </wp:cNvGraphicFramePr>
            <a:graphic>
              <a:graphicData uri="http://schemas.openxmlformats.org/drawingml/2006/picture">
                <pic:pic>
                  <pic:nvPicPr>
                    <pic:cNvPr id="0" name="S 2932-2024 karta.png"/>
                    <pic:cNvPicPr/>
                  </pic:nvPicPr>
                  <pic:blipFill>
                    <a:blip r:embed="rId16"/>
                    <a:stretch>
                      <a:fillRect/>
                    </a:stretch>
                  </pic:blipFill>
                  <pic:spPr>
                    <a:xfrm>
                      <a:off x="0" y="0"/>
                      <a:ext cx="405177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6576659, E 619098 i SWEREF 99 TM.</w:t>
      </w:r>
    </w:p>
    <w:p>
      <w:r>
        <w:t>I och inom 23 meter från samrådsanmälan finns fynd av 83 naturvårdsarter, varav 50 är rödlistade, 32 är fridlysta, 26 är typiska (T) och 15 är signalarter (S): ask (EN), skogsalm (EN), gräshoppsångare (VU, §4), grönfink (VU, §4), igelkott (VU), lungrot (VU), läderbagge (VU, §4a), norsk fetfibbla (VU), porslinsblå spindling (VU, T), skuggmalmätare (VU), stare (VU, §4), tornseglare (VU, §4), backtimjan (NT), björktrast (NT, §4), cinnoberspindling (NT), duvhök (NT, §4), ekticka (NT, T), entita (NT, T, §4), grönfjällig fjällskivling (NT), grönsångare (NT, §4), gul dropplav (NT), gulprickig vaxskivling (NT), gulsparv (NT, §4), göktyta (NT, §4), humlerotfjäril (NT), jättekamskivling (NT), jättespindling (NT), kandelabersvamp (NT, T), knottrig rottryffel (NT), kryddspindling (NT, T), kungsspindling (NT), ladusvala (NT, §4), mindre hackspett (NT, T, §4), oxtungssvamp (NT), rosa skärelav (NT, T), rosenfink (NT, §4), rödbrun blekspik (NT, T), rödvingetrast (NT, §4), rördrom (NT, §4), saffransspindling (NT), större aspvårvecklare (NT), svart skogssnigel (NT), svartöra (NT, T), tallticka (NT, T), tvärbandat vickerfly (NT), vasspetsad sikelvinge (NT), vippärt (NT, T), vägtornsmätare (NT), vårärt (NT, T), ängsskära (NT), blåmossa (S, T), bolmörtsskivling (S), brun nållav (S), fällmossa (S, T), gulpudrad spiklav (S, T), huvudlik svampklubba (S), igelkottsröksvamp (S), lömsk flugsvamp (S), rostfläck (S, T), slemvaxing (S), sotlav (S, T), sotriska (S), stuplav (S, T), svart trolldruva (S, T), underviol (S, T), bergfink (T, §4), blåsippa (T, §9), gulsippa (T), spillkråka (T, §4), tallbit (T, §4), vildkaprifol (T), fjällvråk (§4), gröngöling (§4), grönsiska (§4), havsörn (§4), kråka (§4), kungsfågel (§4), näktergal (§4), svartvit flugsnappare (§4), sävsparv (§4), törnskata (§4),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Grönfjällig fjällskivling (NT) </w:t>
      </w:r>
      <w:r>
        <w:t>är en mycket sällsynt förnasvamp som växer på näringsrika ställen i löv- eller blandskog. Den tycks föredra kalkrik mark. Söderut är den ofta funnen i bokskog. De fåtaliga växtplatserna måste alla säkerställas och arten bör eftersökas i liknande miljöer på andra håll. För att gynna arten fordras att fler lövskogar på kalkrik mark skyddas och brukas på ett för svampfloran ändamålsenligt sätt. Grönfjällig fjällskivling är placerad högst upp i Skogsstyrelsens värdepyramid för bedömning av skog med höga naturvärden (SLU Artdatabanken, 2026;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Större aspvårvecklare (NT) </w:t>
      </w:r>
      <w:r>
        <w:t>är en fjäril som hör hemma i naturskog med grov asp, som är larvens värdväxt. Artens förekomst är kraftigt fragmenterad och den finns inte i varje skogsparti med äldre asp. Vecklaren kräver kontinuitetsskog och hotas av skogsavverkning där hänsyn till gammal asp negligeras. Skydda löv- och blandskogar med lång kontinuitet (SLU Artdatabanken, 2025).</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Vasspetsad sikelvinge (NT)</w:t>
      </w:r>
      <w:r>
        <w:t xml:space="preserve"> är knuten till stora sammanhängande områden med bestånd av skogslind, som utgör fjärilslarvens föda. Arten hotas främst av slutavverkning av ädellövskog, men sannolikt också av alltför kraftig utglesning av trädbestånd som gör dem till mindre varma livsmiljöer. Alla kvarvarande större ursprungliga bestånd av skogslind med äldre träd och en lång kontinuitet, bör ges ett sådant skydd att de undantas all framtida avverkning. Antalet rödlistade växter och djur beroende av ädellövskog, där skogslind är ett av de dominerande inslagen, är mycket högt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65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83 naturvårdsarter varav 50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