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42335-2025 i Strängnäs kommun</w:t>
      </w:r>
    </w:p>
    <w:p>
      <w:r>
        <w:t>Denna tillsynsbegäran behandlar höga naturvärden i avverkningsanmälan A 42335-2025 i Strängnäs kommun som inkom 2025-09-04 och omfattar 6,2 ha.</w:t>
      </w:r>
    </w:p>
    <w:p>
      <w:pPr>
        <w:pStyle w:val="Caption"/>
      </w:pPr>
      <w:r>
        <w:drawing>
          <wp:inline xmlns:a="http://schemas.openxmlformats.org/drawingml/2006/main" xmlns:pic="http://schemas.openxmlformats.org/drawingml/2006/picture">
            <wp:extent cx="4699188" cy="5724000"/>
            <wp:docPr id="1" name="Picture 1"/>
            <wp:cNvGraphicFramePr>
              <a:graphicFrameLocks noChangeAspect="1"/>
            </wp:cNvGraphicFramePr>
            <a:graphic>
              <a:graphicData uri="http://schemas.openxmlformats.org/drawingml/2006/picture">
                <pic:pic>
                  <pic:nvPicPr>
                    <pic:cNvPr id="0" name="A 42335-2025 karta.png"/>
                    <pic:cNvPicPr/>
                  </pic:nvPicPr>
                  <pic:blipFill>
                    <a:blip r:embed="rId16"/>
                    <a:stretch>
                      <a:fillRect/>
                    </a:stretch>
                  </pic:blipFill>
                  <pic:spPr>
                    <a:xfrm>
                      <a:off x="0" y="0"/>
                      <a:ext cx="46991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6567744, E 623063 i SWEREF 99 TM.</w:t>
      </w:r>
    </w:p>
    <w:p>
      <w:r>
        <w:t>I och inom 18 meter från avverkningsanmälan finns fynd av 9 naturvårdsarter, varav 1 är rödlistad, 2 är fridlysta, 8 är typiska (T) och 5 är signalarter (S): ask (EN), fällmossa (S, T), strutbräken (S, T), svart trolldruva (S, T), tibast (S, T), trädporella (S, T), blåsippa (T, §9), hultbräken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strutbräken (S, T), svart trolldruva (S, T), tibast (S, T), trädporella (S, T), blåsippa (T, §9), hultbräken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