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gråtrut (VU, §4), knärot (VU, §8), blåsippa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8.58 ha med buffertzonerna och får av detta skäl inte avverkas.</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