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1701-2025 i Ödeshögs kommun</w:t>
      </w:r>
    </w:p>
    <w:p>
      <w:r>
        <w:t>Denna tillsynsbegäran behandlar höga naturvärden i samrådsanmälan S 1701-2025 i Ödeshögs kommun som inkom 2025-05-28 och omfattar 46,9 ha.</w:t>
      </w:r>
    </w:p>
    <w:p>
      <w:pPr>
        <w:pStyle w:val="Caption"/>
      </w:pPr>
      <w:r>
        <w:drawing>
          <wp:inline xmlns:a="http://schemas.openxmlformats.org/drawingml/2006/main" xmlns:pic="http://schemas.openxmlformats.org/drawingml/2006/picture">
            <wp:extent cx="5337020" cy="5724000"/>
            <wp:docPr id="1" name="Picture 1"/>
            <wp:cNvGraphicFramePr>
              <a:graphicFrameLocks noChangeAspect="1"/>
            </wp:cNvGraphicFramePr>
            <a:graphic>
              <a:graphicData uri="http://schemas.openxmlformats.org/drawingml/2006/picture">
                <pic:pic>
                  <pic:nvPicPr>
                    <pic:cNvPr id="0" name="S 1701-2025 karta.png"/>
                    <pic:cNvPicPr/>
                  </pic:nvPicPr>
                  <pic:blipFill>
                    <a:blip r:embed="rId16"/>
                    <a:stretch>
                      <a:fillRect/>
                    </a:stretch>
                  </pic:blipFill>
                  <pic:spPr>
                    <a:xfrm>
                      <a:off x="0" y="0"/>
                      <a:ext cx="5337020"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6442904, E 487355 i SWEREF 99 TM.</w:t>
      </w:r>
    </w:p>
    <w:p>
      <w:r>
        <w:t>I och inom 25 meter från samrådsanmälan finns fynd av 17 naturvårdsarter, varav 7 är rödlistade, 2 är fridlysta, 12 är typiska (T) och 10 är signalarter (S): fältgentiana (VU), knärot (VU, T, §8), dofttaggsvamp (NT, T), dropptaggsvamp (NT, T), ullticka (NT, T), vedskivlav (NT, T), vedtrappmossa (NT, T), björksplintborre (S), blomkålssvamp (S), blåmossa (S, T), grovticka (S, T), grön sköldmossa (S, T, §8), grönpyrola (S, T), kornknutmossa (S, T), mindre märgborre (S, T), rödgul trumpetsvamp (S)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16 fyndplatser för knärot registrerade på Artportalen. Figur 2 visar gränserna för buffertzoner på 50 m, som behöver lämnas kring fyndplatserna för att knärotslokalerna inte ska försvinna vid en avverkning. Av det samrådsanmälda området överlappar 2.25 ha med buffertzonerna och får av detta skäl inte avverkas.</w:t>
      </w:r>
    </w:p>
    <w:p>
      <w:pPr>
        <w:pStyle w:val="Caption"/>
      </w:pPr>
      <w:r>
        <w:drawing>
          <wp:inline xmlns:a="http://schemas.openxmlformats.org/drawingml/2006/main" xmlns:pic="http://schemas.openxmlformats.org/drawingml/2006/picture">
            <wp:extent cx="5486400" cy="5637229"/>
            <wp:docPr id="2" name="Picture 2"/>
            <wp:cNvGraphicFramePr>
              <a:graphicFrameLocks noChangeAspect="1"/>
            </wp:cNvGraphicFramePr>
            <a:graphic>
              <a:graphicData uri="http://schemas.openxmlformats.org/drawingml/2006/picture">
                <pic:pic>
                  <pic:nvPicPr>
                    <pic:cNvPr id="0" name="S 1701-2025 karta knärot.png"/>
                    <pic:cNvPicPr/>
                  </pic:nvPicPr>
                  <pic:blipFill>
                    <a:blip r:embed="rId17"/>
                    <a:stretch>
                      <a:fillRect/>
                    </a:stretch>
                  </pic:blipFill>
                  <pic:spPr>
                    <a:xfrm>
                      <a:off x="0" y="0"/>
                      <a:ext cx="5486400" cy="563722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6442904, E 487355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dofttaggsvamp (NT, T), dropptaggsvamp (NT, T), ullticka (NT, T), vedskivlav (NT, T), vedtrappmossa (NT, T), blåmossa (S, T), grovticka (S, T), grön sköldmossa (S, T, §8), grönpyrola (S, T), kornknutmossa (S, T) och mindre märgborre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