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34263-2025 i Ödeshögs kommun</w:t>
      </w:r>
    </w:p>
    <w:p>
      <w:r>
        <w:t>Detta dokument behandlar höga naturvärden i avverkningsanmälan A 34263-2025 i Ödeshögs kommun. Denna avverkningsanmälan inkom 2025-07-07 00:00:00 och omfattar 33,6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grå kantarell (NT), majviva (NT), solvända (NT), korallrot (S, §8) och underviol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34263-2025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6458865, E 491142 i SWEREF 99 TM.</w:t>
      </w:r>
    </w:p>
    <w:p>
      <w:r>
        <w:rPr>
          <w:b/>
        </w:rPr>
        <w:t xml:space="preserve">Grå kantarell (NT) </w:t>
      </w:r>
      <w:r>
        <w:t>bildar mykorrhiza med ädellövträd och hassel i kalkrik eller lerig ängsbokskog på sluttande mark eller i rasbranter, men också på mulljord i kalkrika lövängar och lundar med ek och hassel. Lokaler för grå kantarell hyser ofta många andra rödlistade arter och bör utvärderas för områdesskydd och/eller specifika skötselrekommendationer. Växtplatser i ädellövskog undantas från skogsbruk och en skötselplan upprättas. Arten är placerad högst upp i Skogsstyrelsens värdepyramid för bedömning av skog med höga naturvärden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