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som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15 naturvårdsarter hittats: grönfink (VU, §4), stare (VU, §4), enkelbeckasin (NT, §4), gulsparv (NT, §4), järnsparv (NT, §4), nötkråka (NT, T, §4), sparvuggla (NT, §4), talltita (NT, §4), spillkråka (T, §4), havsörn (§4), kråka (§4), kungsfågel (§4), orre (§4), sångsvan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2"/>
      </w:pPr>
      <w:r>
        <w:t>Fridlysta arter</w:t>
      </w:r>
    </w:p>
    <w:p>
      <w:r>
        <w:t>Följande fridlysta arter har sina livsmiljöer och växtplatser i den avverkningsanmälda skogen: grönfink (VU, §4), stare (VU, §4), enkelbeckasin (NT, §4), gulsparv (NT, §4), järnsparv (NT, §4), nötkråka (NT, T, §4), sparvuggla (NT, §4), talltita (NT, §4), spillkråka (T, §4), havsörn (§4), kråka (§4), kungsfågel (§4), orre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