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26025-2023 i Ydre kommun</w:t>
      </w:r>
    </w:p>
    <w:p>
      <w:r>
        <w:t>Detta dokument behandlar höga naturvärden i avverkningsanmälan A 26025-2023 i Ydre kommun. Denna avverkningsanmälan inkom 2023-06-14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grönfink (EN, §4)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0756"/>
            <wp:docPr id="1" name="Picture 1"/>
            <wp:cNvGraphicFramePr>
              <a:graphicFrameLocks noChangeAspect="1"/>
            </wp:cNvGraphicFramePr>
            <a:graphic>
              <a:graphicData uri="http://schemas.openxmlformats.org/drawingml/2006/picture">
                <pic:pic>
                  <pic:nvPicPr>
                    <pic:cNvPr id="0" name="A 26025-2023 karta.png"/>
                    <pic:cNvPicPr/>
                  </pic:nvPicPr>
                  <pic:blipFill>
                    <a:blip r:embed="rId16"/>
                    <a:stretch>
                      <a:fillRect/>
                    </a:stretch>
                  </pic:blipFill>
                  <pic:spPr>
                    <a:xfrm>
                      <a:off x="0" y="0"/>
                      <a:ext cx="5486400" cy="3720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6397641, E 510649 i SWEREF 99 TM.</w:t>
      </w:r>
    </w:p>
    <w:p>
      <w:pPr>
        <w:pStyle w:val="Heading1"/>
      </w:pPr>
      <w:r>
        <w:t>Fridlysta arter</w:t>
      </w:r>
    </w:p>
    <w:p>
      <w:r>
        <w:t>Följande fridlysta arter har sina livsmiljöer och växtplatser i den avverkningsanmälda skogen: grönfink (EN,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