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8451-2025 i Ydre kommun</w:t>
      </w:r>
    </w:p>
    <w:p>
      <w:r>
        <w:t>Detta dokument behandlar höga naturvärden i avverkningsanmälan A 8451-2025 i Ydre kommun. Denna avverkningsanmälan inkom 2025-02-21 00:00:00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dunmossa (S), skogshakmossa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8950"/>
            <wp:docPr id="1" name="Picture 1"/>
            <wp:cNvGraphicFramePr>
              <a:graphicFrameLocks noChangeAspect="1"/>
            </wp:cNvGraphicFramePr>
            <a:graphic>
              <a:graphicData uri="http://schemas.openxmlformats.org/drawingml/2006/picture">
                <pic:pic>
                  <pic:nvPicPr>
                    <pic:cNvPr id="0" name="A 8451-2025 karta.png"/>
                    <pic:cNvPicPr/>
                  </pic:nvPicPr>
                  <pic:blipFill>
                    <a:blip r:embed="rId16"/>
                    <a:stretch>
                      <a:fillRect/>
                    </a:stretch>
                  </pic:blipFill>
                  <pic:spPr>
                    <a:xfrm>
                      <a:off x="0" y="0"/>
                      <a:ext cx="5486400" cy="544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6404052, E 517131 i SWEREF 99 TM.</w:t>
      </w:r>
    </w:p>
    <w:p>
      <w:r>
        <w:rPr>
          <w:b/>
        </w:rPr>
        <w:t>Dunmossa</w:t>
      </w:r>
      <w:r>
        <w:t xml:space="preserve"> är en mycket bra signalart på källpåverkad skogsmark med höga naturvärden och är placerad högst upp i Skogsstyrelsens värdepyramid för bedömning av skog med höga naturvärden. Den växer i skuggiga kärr, särskilt källkärr och bäckstränder påverkade av ytligt grundvatten och tål inte uttorkning. Miljön är ofta något näringsrik och den återfinns särskilt i klibbalkärr, men även i örtrika barr- och blandsumpskogar påverkade av rörligt markvatten. Avverkning på lokalerna och reglering av vattenföring i små vattendrag i sydsvenska skogsområden kan riskera att snabbt minska antalet lokaler för arten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