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10483-2021 i Ydre kommun</w:t>
      </w:r>
    </w:p>
    <w:p>
      <w:r>
        <w:t>Detta dokument behandlar höga naturvärden i avverkningsanmälan A 10483-2021 i Ydre kommun. Denna avverkningsanmälan inkom 2021-03-02 00:00:00 och omfattar 1,1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smalskaftslav (VU), vedtrappmossa (NT), bårdlav (S), trädporella (S) och västlig hakmossa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3290"/>
            <wp:docPr id="1" name="Picture 1"/>
            <wp:cNvGraphicFramePr>
              <a:graphicFrameLocks noChangeAspect="1"/>
            </wp:cNvGraphicFramePr>
            <a:graphic>
              <a:graphicData uri="http://schemas.openxmlformats.org/drawingml/2006/picture">
                <pic:pic>
                  <pic:nvPicPr>
                    <pic:cNvPr id="0" name="A 10483-2021 karta.png"/>
                    <pic:cNvPicPr/>
                  </pic:nvPicPr>
                  <pic:blipFill>
                    <a:blip r:embed="rId16"/>
                    <a:stretch>
                      <a:fillRect/>
                    </a:stretch>
                  </pic:blipFill>
                  <pic:spPr>
                    <a:xfrm>
                      <a:off x="0" y="0"/>
                      <a:ext cx="5486400" cy="453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6421737, E 502813 i SWEREF 99 TM.</w:t>
      </w:r>
    </w:p>
    <w:p>
      <w:r>
        <w:rPr>
          <w:b/>
        </w:rPr>
        <w:t>Smalskaftslav (VU)</w:t>
      </w:r>
      <w:r>
        <w:t>, rödlistad som sårbar, påträffas i gamla barrskogar eller lövskogar med mycket hög och jämn luftfuktighet. Arten är placerad i toppen av Skogsstyrelsens värdepyramid för bedömning av skog med höga naturvärden och alla skogsbruksåtgärder som kan påverka hydrologi och fuktighetsförhållandena på eller i omedelbar närhet av växtplatserna, t.ex. utglesning eller slutavverkning, är ett hot. Samtliga förekomster bör skyddas tillsammans med väl tilltagna skyddszoner (Nitare &amp; Skogsstyrelsen, 2019; SLU Artdatabanken, 2024).</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