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Dunmossa är typisk art för </w:t>
      </w:r>
      <w:r>
        <w:rPr>
          <w:i/>
        </w:rPr>
        <w:t>9080 Lövsumpskog, 9750 Svämlövskog</w:t>
      </w:r>
      <w:r>
        <w:t xml:space="preserve"> och</w:t>
      </w:r>
      <w:r>
        <w:rPr>
          <w:i/>
        </w:rPr>
        <w:t xml:space="preserve"> 7160 Källor och källkärr</w:t>
      </w:r>
      <w:r>
        <w:t>. Arten har minskat kraftigt under de senaste åren och enligt artdatabankens preliminära bedömning kommer den att bli rödlistad som nära hotad (NT) i nästa rödlista som kommer 2026 (SLU Artdatabanken, 2025;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