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2122-2025 i Ydre kommun</w:t>
      </w:r>
    </w:p>
    <w:p>
      <w:r>
        <w:t>Denna tillsynsbegäran behandlar höga naturvärden i samrådsanmälan S 2122-2025 i Ydre kommun som inkom 2025-07-08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357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12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357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6417356, E 512732 i SWEREF 99 TM.</w:t>
      </w:r>
    </w:p>
    <w:p>
      <w:r>
        <w:t>I samrådsanmälan finns fynd av 2 naturvårdsarter, varav 2 är typiska (T) och 2 är signalarter (S): gulnål (S, T) och stubbspretmossa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>Stubbspretmossa</w:t>
      </w:r>
      <w:r>
        <w:t xml:space="preserve"> växer på ved i rika löv- och barrskogar med relativt hög luftfuktighet och indikerar fuktiga skogsmiljöer med gott om murken ved och ofta höga naturvärden. Stubbspretmossa är typisk art för </w:t>
      </w:r>
      <w:r>
        <w:rPr>
          <w:i/>
        </w:rPr>
        <w:t>9020 Nordlig ädellövskog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