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samrådsanmälan S 942-2024 i Ydre kommun</w:t>
      </w:r>
    </w:p>
    <w:p>
      <w:r>
        <w:t>Denna tillsynsbegäran behandlar höga naturvärden i samrådsanmälan S 942-2024 i Ydre kommun som inkom 2024-03-27 och omfattar 2,4 ha.</w:t>
      </w:r>
    </w:p>
    <w:p>
      <w:pPr>
        <w:pStyle w:val="Caption"/>
      </w:pPr>
      <w:r>
        <w:drawing>
          <wp:inline xmlns:a="http://schemas.openxmlformats.org/drawingml/2006/main" xmlns:pic="http://schemas.openxmlformats.org/drawingml/2006/picture">
            <wp:extent cx="5486400" cy="3491688"/>
            <wp:docPr id="1" name="Picture 1"/>
            <wp:cNvGraphicFramePr>
              <a:graphicFrameLocks noChangeAspect="1"/>
            </wp:cNvGraphicFramePr>
            <a:graphic>
              <a:graphicData uri="http://schemas.openxmlformats.org/drawingml/2006/picture">
                <pic:pic>
                  <pic:nvPicPr>
                    <pic:cNvPr id="0" name="S 942-2024 karta.png"/>
                    <pic:cNvPicPr/>
                  </pic:nvPicPr>
                  <pic:blipFill>
                    <a:blip r:embed="rId16"/>
                    <a:stretch>
                      <a:fillRect/>
                    </a:stretch>
                  </pic:blipFill>
                  <pic:spPr>
                    <a:xfrm>
                      <a:off x="0" y="0"/>
                      <a:ext cx="5486400" cy="3491688"/>
                    </a:xfrm>
                    <a:prstGeom prst="rect"/>
                  </pic:spPr>
                </pic:pic>
              </a:graphicData>
            </a:graphic>
          </wp:inline>
        </w:drawing>
      </w:r>
    </w:p>
    <w:p>
      <w:pPr>
        <w:pStyle w:val="Caption"/>
        <w:spacing w:after="240"/>
      </w:pPr>
      <w:r>
        <w:t>Figur 1. Fyndplatser för naturvårdsarter i och inom 10 meter från samrådsanmälan. Markörer utan svart kant är placerade på fyndplatsen. Markörer med svart kant är placerade vid sidan av fyndplatsen har ett svart streck som visar fyndplatsens exakta position. Kartans mittpunktskoordinat är N 6411331, E 525912 i SWEREF 99 TM.</w:t>
      </w:r>
    </w:p>
    <w:p>
      <w:r>
        <w:t>I och inom 10 meter från samrådsanmälan finns fynd av 5 naturvårdsarter, varav 3 är rödlistade, 1 är fridlyst, 5 är typiska (T) och 2 är signalarter (S): knärot (VU, T, §8), skrovlig flatbagge (NT, T), vedskivlav (NT, T), flagellkvastmossa (S, T) och gulnål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samrådsanmälda området finns 7 fyndplatser för knärot registrerade på Artportalen. Figur 2 visar gränserna för buffertzoner på 50 m, som behöver lämnas kring fyndplatserna för att knärotslokalerna inte ska försvinna vid en avverkning. Av det samrådsanmälda området överlappar 1.36 ha med buffertzonerna och får av detta skäl inte avverkas.</w:t>
      </w:r>
    </w:p>
    <w:p>
      <w:pPr>
        <w:pStyle w:val="Caption"/>
      </w:pPr>
      <w:r>
        <w:drawing>
          <wp:inline xmlns:a="http://schemas.openxmlformats.org/drawingml/2006/main" xmlns:pic="http://schemas.openxmlformats.org/drawingml/2006/picture">
            <wp:extent cx="5486400" cy="3489803"/>
            <wp:docPr id="2" name="Picture 2"/>
            <wp:cNvGraphicFramePr>
              <a:graphicFrameLocks noChangeAspect="1"/>
            </wp:cNvGraphicFramePr>
            <a:graphic>
              <a:graphicData uri="http://schemas.openxmlformats.org/drawingml/2006/picture">
                <pic:pic>
                  <pic:nvPicPr>
                    <pic:cNvPr id="0" name="S 942-2024 karta knärot.png"/>
                    <pic:cNvPicPr/>
                  </pic:nvPicPr>
                  <pic:blipFill>
                    <a:blip r:embed="rId17"/>
                    <a:stretch>
                      <a:fillRect/>
                    </a:stretch>
                  </pic:blipFill>
                  <pic:spPr>
                    <a:xfrm>
                      <a:off x="0" y="0"/>
                      <a:ext cx="5486400" cy="3489803"/>
                    </a:xfrm>
                    <a:prstGeom prst="rect"/>
                  </pic:spPr>
                </pic:pic>
              </a:graphicData>
            </a:graphic>
          </wp:inline>
        </w:drawing>
      </w:r>
    </w:p>
    <w:p>
      <w:pPr>
        <w:pStyle w:val="Caption"/>
        <w:spacing w:after="240"/>
      </w:pPr>
      <w:r>
        <w:t>Figur 2. Fyndplatser och buffertzoner för knärot i det samrådsanmälda området. Endast fyndplatser vars buffertzoner överlappar med det samrådsanmälda området har tagits med i visualiseringen. Kartans mittpunktskoordinat är N 6411331, E 525912 i SWEREF 99 TM.</w:t>
      </w:r>
    </w:p>
    <w:p>
      <w:r>
        <w:rPr>
          <w:b/>
        </w:rPr>
        <w:t xml:space="preserve">Skrovlig flatbagge (NT) </w:t>
      </w:r>
      <w:r>
        <w:t xml:space="preserve">är en skalbagge vars larvutveckling sker i mycelrik ved nära fruktkroppar av timmerticka eller citronticka i lågor av barrträd, främst tall, men även gran. Fullbildade skalbaggar påträffas i eller utanpå stammen vid näringsgnag på de vitaktiga, resupinata fruktkropparna. Arten missgynnas framförallt av att skogen blir tätare på grund av skogsskötsel och av att såväl återkommande bränder som skogsbete upphört. I naturligt öppnare miljöer hotas arten av vedtäkt och annat tillvaratagande av tallvirke. Naturligt brunnen tallskog i eller nära lokaler med arten bör skyddas. I skogsbruket bör mer naturvårdsträd av tall och vindfällen lämnas i fred. Detta är särskilt viktigt i kantzoner mot mer öppen mark tex. invid hällmarksimpediment. Skrovlig flatbagge är typisk art för </w:t>
      </w:r>
      <w:r>
        <w:rPr>
          <w:i/>
        </w:rPr>
        <w:t>9060 Åsbarrskog</w:t>
      </w:r>
      <w:r>
        <w:t xml:space="preserve"> och</w:t>
      </w:r>
      <w:r>
        <w:rPr>
          <w:b/>
        </w:rPr>
        <w:t xml:space="preserve"> </w:t>
      </w:r>
      <w:r>
        <w:t>ingår i ett åtgärdsprogram för hotade arter (ÅGP). Den är rödlistad som sårbar (VU) på den europeiska rödlistan vilket medför ett internationellt ansvar för arten (IUCN, 2025; SLU Artdatabanken, 2024; Wikars, 2014).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Flagellkvastmossa</w:t>
      </w:r>
      <w:r>
        <w:t xml:space="preserve"> förekommer framför allt i tallsumpskog, men finns även i relativt torra gran- och tallskogar. Den signalerar överallt skogsmiljöer med höga naturvärden och indikerar biotoper med rik och kontinuerlig förekomst av död ved i olika nedbrytningsstadier eller barlagd torvjord. Flagellkvastmossa är typisk art för </w:t>
      </w:r>
      <w:r>
        <w:rPr>
          <w:i/>
        </w:rPr>
        <w:t xml:space="preserve">9010 Taiga </w:t>
      </w:r>
      <w:r>
        <w:t>och</w:t>
      </w:r>
      <w:r>
        <w:rPr>
          <w:i/>
        </w:rPr>
        <w:t xml:space="preserve"> 9740 Skogsbevuxen myr </w:t>
      </w:r>
      <w:r>
        <w:t>(SLU Artdatabanken, 2024; Nitare &amp; Skogsstyrelsen, 2019).</w:t>
      </w:r>
    </w:p>
    <w:p>
      <w:r>
        <w:rPr>
          <w:b/>
        </w:rPr>
        <w:t>Gulnål</w:t>
      </w:r>
      <w:r>
        <w:t xml:space="preserve"> växer mest på murknande lövträdsved och barrträdsved och förekommer i skuggiga miljöer med hög luftfuktighet. I södra Sverige är den en relativt bra signal på biotoper med höga naturvärden och följs ofta av sällsynta arter. Gulnål är typisk art för </w:t>
      </w:r>
      <w:r>
        <w:rPr>
          <w:i/>
        </w:rPr>
        <w:t>9110 Näringsfattig bokskog</w:t>
      </w:r>
      <w:r>
        <w:t xml:space="preserve"> och</w:t>
      </w:r>
      <w:r>
        <w:rPr>
          <w:i/>
        </w:rPr>
        <w:t xml:space="preserve"> 9130 Näringsrik bokskog </w:t>
      </w:r>
      <w:r>
        <w:t>(Nitare &amp; Skogsstyrelsen, 2019; SLU Artdatabanken, 2025).</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samrådsanmälda skogen: knärot (VU, T, §8), skrovlig flatbagge (NT, T), vedskivlav (NT, T), flagellkvastmossa (S, T) och gulnål (S, T).</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3" name="Picture 3"/>
            <wp:cNvGraphicFramePr>
              <a:graphicFrameLocks noChangeAspect="1"/>
            </wp:cNvGraphicFramePr>
            <a:graphic>
              <a:graphicData uri="http://schemas.openxmlformats.org/drawingml/2006/picture">
                <pic:pic>
                  <pic:nvPicPr>
                    <pic:cNvPr id="0" name="uppföljning av västlig taiga.jpeg"/>
                    <pic:cNvPicPr/>
                  </pic:nvPicPr>
                  <pic:blipFill>
                    <a:blip r:embed="rId18"/>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 Id="rId18" Type="http://schemas.openxmlformats.org/officeDocument/2006/relationships/image" Target="media/image3.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