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45008-2020 i Kinda kommun</w:t>
      </w:r>
    </w:p>
    <w:p>
      <w:r>
        <w:t>Detta dokument behandlar höga naturvärden i avverkningsanmälan A 45008-2020 i Kinda kommun. Denna avverkningsanmälan inkom 2020-09-14 och omfattar 1,3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mosippa (EN, §8), ryl (EN), rödlånke (NT), sandviol (NT) och purpurknipprot (S, §8).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38069"/>
            <wp:docPr id="1" name="Picture 1"/>
            <wp:cNvGraphicFramePr>
              <a:graphicFrameLocks noChangeAspect="1"/>
            </wp:cNvGraphicFramePr>
            <a:graphic>
              <a:graphicData uri="http://schemas.openxmlformats.org/drawingml/2006/picture">
                <pic:pic>
                  <pic:nvPicPr>
                    <pic:cNvPr id="0" name="A 45008-2020 karta.png"/>
                    <pic:cNvPicPr/>
                  </pic:nvPicPr>
                  <pic:blipFill>
                    <a:blip r:embed="rId16"/>
                    <a:stretch>
                      <a:fillRect/>
                    </a:stretch>
                  </pic:blipFill>
                  <pic:spPr>
                    <a:xfrm>
                      <a:off x="0" y="0"/>
                      <a:ext cx="5486400" cy="41380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6419333, E 545390 i SWEREF 99 TM.</w:t>
      </w:r>
    </w:p>
    <w:p>
      <w:r>
        <w:rPr>
          <w:b/>
        </w:rPr>
        <w:t>Ryl (EN)</w:t>
      </w:r>
      <w:r>
        <w:t xml:space="preserve"> är en starkt hotad kärlväxt som påträffas i gamla ljusöppna barrskogar, främst tallskogar på väldränerade och kalkrika jordar med tunna humuslager. Lokaler för arten bör undantas från kalavverkning, markberedning och skogsgödsling. På lokaler med riklig förekomst av ryl kan den sällsynta bladparasiten </w:t>
      </w:r>
      <w:r>
        <w:rPr>
          <w:i/>
        </w:rPr>
        <w:t xml:space="preserve">Mycosphaerella chimaphilae </w:t>
      </w:r>
      <w:r>
        <w:t>(EN)</w:t>
      </w:r>
      <w:r>
        <w:rPr>
          <w:i/>
        </w:rPr>
        <w:t xml:space="preserve"> </w:t>
      </w:r>
      <w:r>
        <w:t>påträffas. Parasiten bildar små svarta prickar på rylens blad (SLU Artdatabanken, 2024; Nitare &amp; Skogsstyrelsen, 2019).</w:t>
      </w:r>
    </w:p>
    <w:p>
      <w:pPr>
        <w:pStyle w:val="Heading1"/>
      </w:pPr>
      <w:r>
        <w:t>Fridlysta arter</w:t>
      </w:r>
    </w:p>
    <w:p>
      <w:r>
        <w:t>Följande fridlysta arter har sina livsmiljöer och växtplatser i den avverkningsanmälda skogen: mosippa (EN, §8) och purpurknipprot (S,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0.16 ha med buffertzonerna och får av detta skäl inte avverkas.</w:t>
      </w:r>
    </w:p>
    <w:p>
      <w:pPr>
        <w:pStyle w:val="Caption"/>
      </w:pPr>
      <w:r>
        <w:drawing>
          <wp:inline xmlns:a="http://schemas.openxmlformats.org/drawingml/2006/main" xmlns:pic="http://schemas.openxmlformats.org/drawingml/2006/picture">
            <wp:extent cx="5486400" cy="4855396"/>
            <wp:docPr id="2" name="Picture 2"/>
            <wp:cNvGraphicFramePr>
              <a:graphicFrameLocks noChangeAspect="1"/>
            </wp:cNvGraphicFramePr>
            <a:graphic>
              <a:graphicData uri="http://schemas.openxmlformats.org/drawingml/2006/picture">
                <pic:pic>
                  <pic:nvPicPr>
                    <pic:cNvPr id="0" name="A 45008-2020 karta knärot.png"/>
                    <pic:cNvPicPr/>
                  </pic:nvPicPr>
                  <pic:blipFill>
                    <a:blip r:embed="rId17"/>
                    <a:stretch>
                      <a:fillRect/>
                    </a:stretch>
                  </pic:blipFill>
                  <pic:spPr>
                    <a:xfrm>
                      <a:off x="0" y="0"/>
                      <a:ext cx="5486400" cy="485539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6419333, E 545390 i SWEREF 99 TM.</w:t>
      </w:r>
    </w:p>
    <w:p>
      <w:pPr>
        <w:pStyle w:val="Caption"/>
      </w:pPr>
    </w:p>
    <w:p>
      <w:r>
        <w:rPr>
          <w:b/>
        </w:rPr>
        <w:t>Mosippa (EN, §8)</w:t>
      </w:r>
      <w:r>
        <w:t xml:space="preserve"> är fridlyst enligt 8 § artskyddsförordningen och omfattas av ett åtgärdsprogram för hotade arter (ÅGP). Den är brandgynnad och växer i öppna sandtallskogar, främst på isälvssediment såsom rullstensåsar och sandfält i en mager vegetation bland renlavar och lingon. Minskningstakten har uppgått till 50 (40–60) % under de senaste 100 åren överstiger gränsvärdet för Starkt hotad (EN) enligt A-kriteriet. (A2ac) (SLU Artdatabanken, 2024; Nitare &amp; Skogsstyrelsen, 2019).</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