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r>
        <w:rPr>
          <w:b/>
        </w:rPr>
        <w:t xml:space="preserve">Ekgetingbock (NT) </w:t>
      </w:r>
      <w:r>
        <w:t>är en långhorning vars larvutveckling sker i nyligen döda, solexponerade grenar och klena stammar av ek. Såväl i grenar som sitter kvar på träden som nedfallna grenar på marken. Fullbildade individer påträffas från slutet av maj till juli på lämplig ved eller i blommor, främst av flockblommiga växter. Arten påverkas negativt av brist på död ved och det föreligger indikation på eller misstanke om populationsminskning. Minskningen avser kvalitén på artens habitat, bland annat på grund av ett ökat utnyttjande av flisved (GROT) för energiändamål och röjning i hagmarker till följd av tillämpningen av miljöersättningsreglerna för naturbetesmarker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