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51780-2022 i Kinda kommun</w:t>
      </w:r>
    </w:p>
    <w:p>
      <w:r>
        <w:t>Detta dokument behandlar höga naturvärden i avverkningsanmälan A 51780-2022 i Kinda kommun. Denna avverkningsanmälan inkom 2022-11-07 00:00:00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18 naturvårdsarter hittats: aspgelélav (VU), gropig skägglav (VU), knärot (VU, §8), dvärgbägarlav (NT), motaggsvamp (NT), tallticka (NT), ullticka (NT), vedtrappmossa (NT), brandticka (S), dvärgtufs (S), fällmossa (S), grönpyrola (S), gulnål (S), mindre märgborre (S), rävticka (S), skinnlav (S), trubbfjädermossa (S) och blåsippa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1095"/>
            <wp:docPr id="1" name="Picture 1"/>
            <wp:cNvGraphicFramePr>
              <a:graphicFrameLocks noChangeAspect="1"/>
            </wp:cNvGraphicFramePr>
            <a:graphic>
              <a:graphicData uri="http://schemas.openxmlformats.org/drawingml/2006/picture">
                <pic:pic>
                  <pic:nvPicPr>
                    <pic:cNvPr id="0" name="A 51780-2022 karta.png"/>
                    <pic:cNvPicPr/>
                  </pic:nvPicPr>
                  <pic:blipFill>
                    <a:blip r:embed="rId16"/>
                    <a:stretch>
                      <a:fillRect/>
                    </a:stretch>
                  </pic:blipFill>
                  <pic:spPr>
                    <a:xfrm>
                      <a:off x="0" y="0"/>
                      <a:ext cx="5486400" cy="59210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6435650, E 523062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Gropig skägglav (VU)</w:t>
      </w:r>
      <w:r>
        <w:t xml:space="preserve"> växer på träd i flera olika miljöer, både kulturmark som alléer och i gammal skog. Är sannolikt känslig för luftföroreningar liksom slutavverkning av gammal skog men orsaken till tillbakagången är delvis oklar. Minskningstakten har uppgått till 30 (20–40) % under de senaste 50 åren och överstiger gränsvärdet för sårbar (VU). Arten påverkas negativt av brist på kontinuitetsskog (SLU Artdatabanken, 2026).</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Rävticka</w:t>
      </w:r>
      <w:r>
        <w:t xml:space="preserve"> är typisk art för </w:t>
      </w:r>
      <w:r>
        <w:rPr>
          <w:i/>
        </w:rPr>
        <w:t xml:space="preserve">9010 Taiga </w:t>
      </w:r>
      <w:r>
        <w:t>(SLU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3.20 ha med buffertzonerna och får av detta skäl inte avverkas.</w:t>
      </w:r>
    </w:p>
    <w:p>
      <w:pPr>
        <w:pStyle w:val="Caption"/>
      </w:pPr>
      <w:r>
        <w:drawing>
          <wp:inline xmlns:a="http://schemas.openxmlformats.org/drawingml/2006/main" xmlns:pic="http://schemas.openxmlformats.org/drawingml/2006/picture">
            <wp:extent cx="5486400" cy="7476359"/>
            <wp:docPr id="2" name="Picture 2"/>
            <wp:cNvGraphicFramePr>
              <a:graphicFrameLocks noChangeAspect="1"/>
            </wp:cNvGraphicFramePr>
            <a:graphic>
              <a:graphicData uri="http://schemas.openxmlformats.org/drawingml/2006/picture">
                <pic:pic>
                  <pic:nvPicPr>
                    <pic:cNvPr id="0" name="A 51780-2022 karta knärot.png"/>
                    <pic:cNvPicPr/>
                  </pic:nvPicPr>
                  <pic:blipFill>
                    <a:blip r:embed="rId17"/>
                    <a:stretch>
                      <a:fillRect/>
                    </a:stretch>
                  </pic:blipFill>
                  <pic:spPr>
                    <a:xfrm>
                      <a:off x="0" y="0"/>
                      <a:ext cx="5486400" cy="747635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6435650, E 523062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