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1390-2024 i Kinda kommun</w:t>
      </w:r>
    </w:p>
    <w:p>
      <w:r>
        <w:t>Denna tillsynsbegäran behandlar höga naturvärden i samrådsanmälan S 1390-2024 i Kinda kommun som inkom 2024-04-29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60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6421260, E 525576 i SWEREF 99 TM.</w:t>
      </w:r>
    </w:p>
    <w:p>
      <w:r>
        <w:t>I samrådsanmälan finns fynd av 1 naturvårdsarter, varav 1 är rödlistad: blek kraterlav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Blek kraterlav (VU)</w:t>
      </w:r>
      <w:r>
        <w:t xml:space="preserve"> växer på grova ädellövträd (till mer än 80% på ask och alm men någon gång på ek och lönn) i gamla skogar, öppna lövängar, alléer och kyrkogårdar. Arten förekommer på lokaler med lång trädkontinuitet, ofta tillsammans med den rödlistade almlaven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