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38019-2024 i Kinda kommun</w:t>
      </w:r>
    </w:p>
    <w:p>
      <w:r>
        <w:t>Detta dokument behandlar höga naturvärden i avverkningsanmälan A 38019-2024 i Kinda kommun. Denna avverkningsanmälan inkom 2024-09-09 15:17:37 och omfattar 6,3 ha.</w:t>
      </w:r>
    </w:p>
    <w:p>
      <w:r>
        <w:t>Nedan presenteras fynd av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Fridlysta arter</w:t>
      </w:r>
    </w:p>
    <w:p>
      <w:r>
        <w:t>Följande fridlysta arter har sina livsmiljöer och växtplatser i den avverkningsanmälda skogen: .</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rödlistan(SLU Artdatabanken, 2024).</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0.17 ha med buffertzonerna och får av detta skäl inte avverkas.</w:t>
      </w:r>
    </w:p>
    <w:p>
      <w:pPr>
        <w:pStyle w:val="Caption"/>
      </w:pPr>
      <w:r>
        <w:drawing>
          <wp:inline xmlns:a="http://schemas.openxmlformats.org/drawingml/2006/main" xmlns:pic="http://schemas.openxmlformats.org/drawingml/2006/picture">
            <wp:extent cx="5486400" cy="6783301"/>
            <wp:docPr id="1" name="Picture 1"/>
            <wp:cNvGraphicFramePr>
              <a:graphicFrameLocks noChangeAspect="1"/>
            </wp:cNvGraphicFramePr>
            <a:graphic>
              <a:graphicData uri="http://schemas.openxmlformats.org/drawingml/2006/picture">
                <pic:pic>
                  <pic:nvPicPr>
                    <pic:cNvPr id="0" name="A 38019-2024 karta knärot.png"/>
                    <pic:cNvPicPr/>
                  </pic:nvPicPr>
                  <pic:blipFill>
                    <a:blip r:embed="rId16"/>
                    <a:stretch>
                      <a:fillRect/>
                    </a:stretch>
                  </pic:blipFill>
                  <pic:spPr>
                    <a:xfrm>
                      <a:off x="0" y="0"/>
                      <a:ext cx="5486400" cy="6783301"/>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6433559, E 537802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0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2025-09-27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