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58738-2024 i Kinda kommun</w:t>
      </w:r>
    </w:p>
    <w:p>
      <w:r>
        <w:t>Denna tillsynsbegäran behandlar höga naturvärden i avverkningsanmälan A 58738-2024 i Kinda kommun som inkom 2024-12-09 och omfattar 0,7 ha.</w:t>
      </w:r>
    </w:p>
    <w:p>
      <w:pPr>
        <w:pStyle w:val="Caption"/>
      </w:pPr>
      <w:r>
        <w:drawing>
          <wp:inline xmlns:a="http://schemas.openxmlformats.org/drawingml/2006/main" xmlns:pic="http://schemas.openxmlformats.org/drawingml/2006/picture">
            <wp:extent cx="5486400" cy="5393724"/>
            <wp:docPr id="1" name="Picture 1"/>
            <wp:cNvGraphicFramePr>
              <a:graphicFrameLocks noChangeAspect="1"/>
            </wp:cNvGraphicFramePr>
            <a:graphic>
              <a:graphicData uri="http://schemas.openxmlformats.org/drawingml/2006/picture">
                <pic:pic>
                  <pic:nvPicPr>
                    <pic:cNvPr id="0" name="A 58738-2024 karta.png"/>
                    <pic:cNvPicPr/>
                  </pic:nvPicPr>
                  <pic:blipFill>
                    <a:blip r:embed="rId16"/>
                    <a:stretch>
                      <a:fillRect/>
                    </a:stretch>
                  </pic:blipFill>
                  <pic:spPr>
                    <a:xfrm>
                      <a:off x="0" y="0"/>
                      <a:ext cx="5486400" cy="5393724"/>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och har ett svart streck som visar fyndplatsens exakta position. Kartans mittpunktskoordinat är N 6436612, E 531232 i SWEREF 99 TM.</w:t>
      </w:r>
    </w:p>
    <w:p>
      <w:r>
        <w:t>Inom 15 meter från avverkningsanmälan finns fynd av 3 naturvårdsarter, varav 1 är rödlistad, 3 är typiska (T) och 2 är signalarter (S): tallticka (NT, T), bronshjon (S, T) och granbarkgnagare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0.04 ha med buffertzonerna och får av detta skäl inte avverkas.</w:t>
      </w:r>
    </w:p>
    <w:p>
      <w:pPr>
        <w:pStyle w:val="Caption"/>
      </w:pPr>
      <w:r>
        <w:drawing>
          <wp:inline xmlns:a="http://schemas.openxmlformats.org/drawingml/2006/main" xmlns:pic="http://schemas.openxmlformats.org/drawingml/2006/picture">
            <wp:extent cx="5486400" cy="6944508"/>
            <wp:docPr id="2" name="Picture 2"/>
            <wp:cNvGraphicFramePr>
              <a:graphicFrameLocks noChangeAspect="1"/>
            </wp:cNvGraphicFramePr>
            <a:graphic>
              <a:graphicData uri="http://schemas.openxmlformats.org/drawingml/2006/picture">
                <pic:pic>
                  <pic:nvPicPr>
                    <pic:cNvPr id="0" name="A 58738-2024 karta knärot.png"/>
                    <pic:cNvPicPr/>
                  </pic:nvPicPr>
                  <pic:blipFill>
                    <a:blip r:embed="rId17"/>
                    <a:stretch>
                      <a:fillRect/>
                    </a:stretch>
                  </pic:blipFill>
                  <pic:spPr>
                    <a:xfrm>
                      <a:off x="0" y="0"/>
                      <a:ext cx="5486400" cy="694450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6436612, E 531232 i SWEREF 99 TM.</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 xml:space="preserve">Granbarkgnagare </w:t>
      </w:r>
      <w:r>
        <w:t xml:space="preserve">är en skalbagge vars larvutveckling sker i den tjocka ytterbarken på gamla och mycket grova levande granar. Man lägger lätt märke till angreppen på träden eftersom flera grova kläckhål ligger ganska tätt intill varandra på de grövre barkåsarna. Kläckhålen är runda och ca 1,5 mm breda. Granbarkgnagare är typisk art för </w:t>
      </w:r>
      <w:r>
        <w:rPr>
          <w:i/>
        </w:rPr>
        <w:t xml:space="preserve">9010 Taiga </w:t>
      </w:r>
      <w:r>
        <w:t>(Ehnström, 2002; SLU Artdatabanken, 2025).</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