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1760-2024 i Kinda kommun</w:t>
      </w:r>
    </w:p>
    <w:p>
      <w:r>
        <w:t>Detta klagomål behandlar höga naturvärden i avverkningsanmälan A 1760-2024 i Kinda kommun som inkom 2024-01-16 och omfattar 1,4 ha.</w:t>
      </w:r>
    </w:p>
    <w:p>
      <w:pPr>
        <w:pStyle w:val="Caption"/>
      </w:pPr>
      <w:r>
        <w:drawing>
          <wp:inline xmlns:a="http://schemas.openxmlformats.org/drawingml/2006/main" xmlns:pic="http://schemas.openxmlformats.org/drawingml/2006/picture">
            <wp:extent cx="5486400" cy="5645482"/>
            <wp:docPr id="1" name="Picture 1"/>
            <wp:cNvGraphicFramePr>
              <a:graphicFrameLocks noChangeAspect="1"/>
            </wp:cNvGraphicFramePr>
            <a:graphic>
              <a:graphicData uri="http://schemas.openxmlformats.org/drawingml/2006/picture">
                <pic:pic>
                  <pic:nvPicPr>
                    <pic:cNvPr id="0" name="A 1760-2024 karta.png"/>
                    <pic:cNvPicPr/>
                  </pic:nvPicPr>
                  <pic:blipFill>
                    <a:blip r:embed="rId16"/>
                    <a:stretch>
                      <a:fillRect/>
                    </a:stretch>
                  </pic:blipFill>
                  <pic:spPr>
                    <a:xfrm>
                      <a:off x="0" y="0"/>
                      <a:ext cx="5486400" cy="564548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6446825, E 542179 i SWEREF 99 TM.</w:t>
      </w:r>
    </w:p>
    <w:p>
      <w:r>
        <w:t>I avverkningsanmälan finns fynd av 2 naturvårdsarter, varav 1 är typisk (T) och 2 är signalarter (S): bågpraktmossa (S, T) och källmossor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Bågpraktmossa </w:t>
      </w:r>
      <w:r>
        <w:t xml:space="preserve">växer i skuggiga och våta skogsmiljöer, bland annat i bäckdalar, alsumpskogar, strandskogar och örtrika gransumpskogar. Den är i hela sitt utbredningsområde en bra signalart för gransumpskogar som ofta hyser andra, mer ovanliga och rödlistade arter. Bågpraktmossa indikerar skogsmark som har ostörd hydrologi och kalkfattig mark och är typisk art för </w:t>
      </w:r>
      <w:r>
        <w:rPr>
          <w:i/>
        </w:rPr>
        <w:t xml:space="preserve">9080 Lövsumpskog, 9750 Svämlövskog </w:t>
      </w:r>
      <w:r>
        <w:t xml:space="preserve">och </w:t>
      </w:r>
      <w:r>
        <w:rPr>
          <w:i/>
        </w:rPr>
        <w:t>7160 Källor och källkärr</w:t>
      </w:r>
      <w:r>
        <w:t xml:space="preserve"> (SLU Artdatabanken, 2025;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