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56140-2024 i Kinda kommun</w:t>
      </w:r>
    </w:p>
    <w:p>
      <w:r>
        <w:t>Denna tillsynsbegäran behandlar höga naturvärden i avverkningsanmälan A 56140-2024 i Kinda kommun som inkom 2024-11-28 och omfattar 0,7 ha.</w:t>
      </w:r>
    </w:p>
    <w:p>
      <w:pPr>
        <w:pStyle w:val="Caption"/>
      </w:pPr>
      <w:r>
        <w:drawing>
          <wp:inline xmlns:a="http://schemas.openxmlformats.org/drawingml/2006/main" xmlns:pic="http://schemas.openxmlformats.org/drawingml/2006/picture">
            <wp:extent cx="5441633" cy="5724000"/>
            <wp:docPr id="1" name="Picture 1"/>
            <wp:cNvGraphicFramePr>
              <a:graphicFrameLocks noChangeAspect="1"/>
            </wp:cNvGraphicFramePr>
            <a:graphic>
              <a:graphicData uri="http://schemas.openxmlformats.org/drawingml/2006/picture">
                <pic:pic>
                  <pic:nvPicPr>
                    <pic:cNvPr id="0" name="A 56140-2024 karta.png"/>
                    <pic:cNvPicPr/>
                  </pic:nvPicPr>
                  <pic:blipFill>
                    <a:blip r:embed="rId16"/>
                    <a:stretch>
                      <a:fillRect/>
                    </a:stretch>
                  </pic:blipFill>
                  <pic:spPr>
                    <a:xfrm>
                      <a:off x="0" y="0"/>
                      <a:ext cx="5441633" cy="5724000"/>
                    </a:xfrm>
                    <a:prstGeom prst="rect"/>
                  </pic:spPr>
                </pic:pic>
              </a:graphicData>
            </a:graphic>
          </wp:inline>
        </w:drawing>
      </w:r>
    </w:p>
    <w:p>
      <w:pPr>
        <w:pStyle w:val="Caption"/>
        <w:spacing w:after="240"/>
      </w:pPr>
      <w:r>
        <w:t>Figur 1. Fyndplatser för naturvårdsarter inom 5 meter från avverkningsanmälan. Markörer utan svart kant är placerade på fyndplatsen. Markörer med svart kant är placerade vid sidan av fyndplatsen och har ett svart streck som visar fyndplatsens exakta position. Kartans mittpunktskoordinat är N 6429786, E 531191 i SWEREF 99 TM.</w:t>
      </w:r>
    </w:p>
    <w:p>
      <w:r>
        <w:t>Inom 5 meter från avverkningsanmälan finns fynd av 1 naturvårdsarter, varav 1 är rödlistad och 1 är typisk (T): orange taggsvamp (NT,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Orange taggsvamp (NT) </w:t>
      </w:r>
      <w:r>
        <w:t xml:space="preserve">bildar mykorrhiza med både gran och tall och den förekommer främst i äldre barrskogar med kontinuitetsskogskaraktär. Mest frekvent är den i äldre mossrik granskog, men då bara i skogar inom granens naturliga utbredningsområde och i bestånd med långvarig grankontinuitet. Den totala populationen i landet bedöms ha minskat kraftigt och fortsatt kommer att minska då arten är knuten till en produktiv skogsmiljö som successivt avverkas. Arten hotas främst av skogsavverkning och tycks försvinna efter slutavverkning, markberedning och plantering och det är inte känt att arten har återkommit i anlagd skog på tidigare kalmark. Orange taggsvamp är typisk art för </w:t>
      </w:r>
      <w:r>
        <w:rPr>
          <w:i/>
        </w:rPr>
        <w:t>9010 Taiga</w:t>
      </w:r>
      <w:r>
        <w:t xml:space="preserve"> (SLU Artdatabanken, 2024).</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