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37033-2025 i Kinda kommun</w:t>
      </w:r>
    </w:p>
    <w:p>
      <w:r>
        <w:t>Detta dokument behandlar höga naturvärden i avverkningsanmälan A 37033-2025 i Kinda kommun. Denna avverkningsanmälan inkom 2025-08-06 00:00:00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dammfladdermus (NT, §4a), motaggsvamp (NT), orange taggsvamp (NT), talltaggsvamp (NT), utter (NT, §4a), vedskivlav (NT), blomkålssvamp (S) och dropptaggsvamp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1198"/>
            <wp:docPr id="1" name="Picture 1"/>
            <wp:cNvGraphicFramePr>
              <a:graphicFrameLocks noChangeAspect="1"/>
            </wp:cNvGraphicFramePr>
            <a:graphic>
              <a:graphicData uri="http://schemas.openxmlformats.org/drawingml/2006/picture">
                <pic:pic>
                  <pic:nvPicPr>
                    <pic:cNvPr id="0" name="A 37033-2025 karta.png"/>
                    <pic:cNvPicPr/>
                  </pic:nvPicPr>
                  <pic:blipFill>
                    <a:blip r:embed="rId16"/>
                    <a:stretch>
                      <a:fillRect/>
                    </a:stretch>
                  </pic:blipFill>
                  <pic:spPr>
                    <a:xfrm>
                      <a:off x="0" y="0"/>
                      <a:ext cx="5486400" cy="59011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6415782, E 535957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dammfladdermus (NT, §4a) och utter (NT, §4a).</w:t>
      </w:r>
    </w:p>
    <w:p>
      <w:r>
        <w:rPr>
          <w:b/>
        </w:rPr>
        <w:t>Dammfladdermus (NT, §4a)</w:t>
      </w:r>
      <w:r>
        <w:t xml:space="preserve">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För dammfladdermusen är det särskilt viktigt att värna om strandnära områden, genom att bevara eller skapa sumpskog och hålträd (SLU Artdatabanken, 2024; IUCN, 2016).</w:t>
      </w:r>
    </w:p>
    <w:p>
      <w:r>
        <w:t>I BILAGA 1 finns mer detaljerad information om ekologi samt krav på livsmiljö hos fridlysta arter.</w:t>
      </w:r>
    </w:p>
    <w:p>
      <w:r>
        <w:br w:type="page"/>
      </w:r>
    </w:p>
    <w:p>
      <w:pPr>
        <w:pStyle w:val="Title"/>
      </w:pPr>
      <w:r>
        <w:t>BILAGA 1 – Fridlysta arter</w:t>
      </w:r>
    </w:p>
    <w:p>
      <w:pPr>
        <w:pStyle w:val="Heading1"/>
      </w:pPr>
      <w:r>
        <w:t>Dammfladdermus – ekologi samt krav på livsmiljön</w:t>
      </w:r>
    </w:p>
    <w:p>
      <w:r>
        <w:t>Dammfladdermus (NT, §4a)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(SLU Artdatabanken, 2024; IUCN, 2016).</w:t>
      </w:r>
    </w:p>
    <w:p>
      <w:r>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 Eftersom dammfladdermusen i huvudsak jagar över sjöar och vattendrag så är det framförallt vattenkvalité och utformningen av strandnära miljöer som påverkar artens förekomst. För dammfladdermusen är det särskilt viktigt att värna om strandnära områden, genom att bevara eller skapa sumpskog och hålträd (SLU Artdatabanken, 2024).</w:t>
      </w:r>
    </w:p>
    <w:p>
      <w:pPr>
        <w:pStyle w:val="Heading2"/>
      </w:pPr>
      <w:r>
        <w:t>Referenser – dammfladdermus</w:t>
      </w:r>
    </w:p>
    <w:p>
      <w:r>
        <w:t xml:space="preserve">IUCN, 2016. </w:t>
      </w:r>
      <w:r>
        <w:rPr>
          <w:i/>
        </w:rPr>
        <w:t>Myotis dasycneme</w:t>
      </w:r>
      <w:r>
        <w:t>. The IUCN Red List of Threatened Species.</w:t>
      </w:r>
    </w:p>
    <w:p>
      <w:r>
        <w:t>SLU Artdatabanken, 2024.</w:t>
      </w:r>
      <w:r>
        <w:rPr>
          <w:i/>
        </w:rPr>
        <w:t xml:space="preserve"> Artfakta: dammfladdermus (Myotis dasycneme)</w:t>
      </w:r>
      <w:r>
        <w:t>. https://artfakta.se/taxa/100086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