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pPr>
        <w:pStyle w:val="Title"/>
      </w:pPr>
      <w:r>
        <w:t>Tillsynsbegäran – information om höga naturvärden i avverkningsanmälan A 35080-2026 i Kinda kommun</w:t>
      </w:r>
    </w:p>
    <w:p>
      <w:r>
        <w:t>Denna tillsynsbegäran behandlar höga naturvärden i avverkningsanmälan A 35080-2026 i Kinda kommun som inkom 2026-08-26 och omfattar 8,8 ha.</w:t>
      </w:r>
    </w:p>
    <w:p>
      <w:pPr>
        <w:pStyle w:val="Caption"/>
      </w:pPr>
      <w:r>
        <w:drawing>
          <wp:inline xmlns:a="http://schemas.openxmlformats.org/drawingml/2006/main" xmlns:pic="http://schemas.openxmlformats.org/drawingml/2006/picture">
            <wp:extent cx="5486400" cy="4679198"/>
            <wp:docPr id="1" name="Picture 1"/>
            <wp:cNvGraphicFramePr>
              <a:graphicFrameLocks noChangeAspect="1"/>
            </wp:cNvGraphicFramePr>
            <a:graphic>
              <a:graphicData uri="http://schemas.openxmlformats.org/drawingml/2006/picture">
                <pic:pic>
                  <pic:nvPicPr>
                    <pic:cNvPr id="0" name="A 35080-2026 karta.png"/>
                    <pic:cNvPicPr/>
                  </pic:nvPicPr>
                  <pic:blipFill>
                    <a:blip r:embed="rId16"/>
                    <a:stretch>
                      <a:fillRect/>
                    </a:stretch>
                  </pic:blipFill>
                  <pic:spPr>
                    <a:xfrm>
                      <a:off x="0" y="0"/>
                      <a:ext cx="5486400" cy="4679198"/>
                    </a:xfrm>
                    <a:prstGeom prst="rect"/>
                  </pic:spPr>
                </pic:pic>
              </a:graphicData>
            </a:graphic>
          </wp:inline>
        </w:drawing>
      </w:r>
    </w:p>
    <w:p>
      <w:pPr>
        <w:pStyle w:val="Caption"/>
        <w:spacing w:after="240"/>
      </w:pPr>
      <w:r>
        <w:t>Figur 1. Fyndplatser för naturvårdsarter i avverkningsanmälan. Markörer utan svart kant är placerade på fyndplatsen. Markörer med svart kant är placerade vid sidan av fyndplatsen och har ett svart streck som visar fyndplatsens exakta position. Kartans mittpunktskoordinat är N 6427323, E 548608 i SWEREF 99 TM.</w:t>
      </w:r>
    </w:p>
    <w:p>
      <w:r>
        <w:t>I avverkningsanmälan finns fynd av 3 naturvårdsarter, varav 1 är rödlistad, 2 är typiska (T) och 2 är signalarter (S): ask (EN), guldlockmossa (S, T) och rostfläck (S, T). Se Figur 1.</w:t>
      </w:r>
    </w:p>
    <w:p>
      <w:pPr>
        <w:pStyle w:val="Heading1"/>
      </w:pPr>
      <w:r>
        <w:t>Tillsynsbegäran</w:t>
      </w:r>
    </w:p>
    <w:p>
      <w:r>
        <w:t>Vi begär härmed att Skogsstyrelsen fattar beslut enligt miljöbalken som säkerställer att skogens höga naturvärden bevaras samt att EU-lagstiftning efterlevs och att artskyddsbrott förhindras.</w:t>
      </w:r>
    </w:p>
    <w:p>
      <w:r>
        <w:t>Vi önskar även ta del av de ställningstaganden och beslut som myndigheten meddelar till följd av aktuell avverkningsanmälan och föreningens inlaga (se 34 § förvaltningslagen).</w:t>
      </w:r>
    </w:p>
    <w:p>
      <w:pPr>
        <w:pStyle w:val="Heading1"/>
      </w:pPr>
      <w:r>
        <w:t>Naturvårdsarter och fridlysta arter</w:t>
      </w:r>
    </w:p>
    <w:p>
      <w:r>
        <w:t>Nedan följer beskrivningar av de naturvårdsarter och fridlysta arter som har sina livsmiljöer och växtplatser i den avverkningsanmälda skogen. De påträffade naturvårdsarterna är ett tydligt kvitto på att det rör sig om en skog med höga naturvärden.</w:t>
      </w:r>
    </w:p>
    <w:p>
      <w:r>
        <w:rPr>
          <w:b/>
        </w:rPr>
        <w:t>Ask (EN)</w:t>
      </w:r>
      <w:r>
        <w:t xml:space="preserve"> växer naturligt på frisk till fuktig, näringsrik, mullrik mark, gärna med rörligt, ytnära grundvatten. Asken är mycket viktig för den biologiska mångfalden och den är värd för minst 213 arter i olika organismgrupper, av vilka åtminstone 42 är askspecialister, ytterligare 8 arter förekommer endast på ask och alm. Bland dessa kan nämnas asknätfjäril (EN, §4a), askvårtlav (EN) och askpraktbagge (NT). Det finns en ökad risk att dessa arter försvinner när populationen av ask minskar. Asken är kraftigt drabbad av askskottsjukan, men angripna askar bör inte avverkas eftersom det är så många andra arter knutna till ask, såväl till döda som till levande träd. Eftersom sjukdomen är vindspridd så finns den redan nästan överallt där det finns askar, och till skillnad från almsjukan så förhindrar eller försvårar man inte spridningen genom att ta bort träd. Asken är globalt rödlistad som nära hotad (NT) vilket medför ett internationellt ansvar för arten (SLU Artdatabanken, 2026; IUCN, 2017).</w:t>
      </w:r>
    </w:p>
    <w:p>
      <w:r>
        <w:rPr>
          <w:b/>
        </w:rPr>
        <w:t>Guldlockmossa</w:t>
      </w:r>
      <w:r>
        <w:t xml:space="preserve"> växer på solexponerade, basiska klippor och block samt på skrovlig bark vid basen av ädellövträd med rik bark, ofta på gamla ekar, bokar och andra ädellövträd som står öppet i bryn. Särskilt högt signalvärde har den i norra Sverige där den sällsynt kan påträffas i sydväxtberg på klippor med basiska bergarter. Guldlockmossa är typisk art för </w:t>
      </w:r>
      <w:r>
        <w:rPr>
          <w:i/>
        </w:rPr>
        <w:t xml:space="preserve">9110 Näringsfattig bokskog, 9160 Näringsrik ekskog, 9180 Ädellövskog i branter </w:t>
      </w:r>
      <w:r>
        <w:t xml:space="preserve">och </w:t>
      </w:r>
      <w:r>
        <w:rPr>
          <w:i/>
        </w:rPr>
        <w:t xml:space="preserve">9190 Näringsfattig ekskog </w:t>
      </w:r>
      <w:r>
        <w:t>(Nitare &amp; Skogsstyrelsen, 2019; SLU Artdatabanken, 2025).</w:t>
      </w:r>
    </w:p>
    <w:p>
      <w:r>
        <w:rPr>
          <w:b/>
        </w:rPr>
        <w:t xml:space="preserve">Rostfläck </w:t>
      </w:r>
      <w:r>
        <w:t xml:space="preserve">signalerar framför allt höga naturvärden i östra Sverige samt norr om den naturliga norrlandsgränsen. Arten indikerar här skogsmiljöer som under lång tid haft ett konstant fuktigt mikroklimat. Rika förekomster i Norrland visar sannolikt på bestånd med långvarig kontinuitet av gamla träd. När laven påträffas i alkärr signalerar den höga naturvärden inom hela sitt utbredningsområde. Rostfläck är typisk art för </w:t>
      </w:r>
      <w:r>
        <w:rPr>
          <w:i/>
        </w:rPr>
        <w:t xml:space="preserve">9190 Näringsfattig ekskog </w:t>
      </w:r>
      <w:r>
        <w:t>(Nitare &amp; Skogsstyrelsen, 2019; SLU Artdatabanken, 2025).</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2026-10-26</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