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27099-2023 i Kinda kommun</w:t>
      </w:r>
    </w:p>
    <w:p>
      <w:r>
        <w:t>Denna tillsynsbegäran behandlar höga naturvärden i avverkningsanmälan A 27099-2023 i Kinda kommun som inkom 2023-06-19 och omfattar 4,2 ha.</w:t>
      </w:r>
    </w:p>
    <w:p>
      <w:pPr>
        <w:pStyle w:val="Caption"/>
      </w:pPr>
      <w:r>
        <w:drawing>
          <wp:inline xmlns:a="http://schemas.openxmlformats.org/drawingml/2006/main" xmlns:pic="http://schemas.openxmlformats.org/drawingml/2006/picture">
            <wp:extent cx="5486400" cy="5718299"/>
            <wp:docPr id="1" name="Picture 1"/>
            <wp:cNvGraphicFramePr>
              <a:graphicFrameLocks noChangeAspect="1"/>
            </wp:cNvGraphicFramePr>
            <a:graphic>
              <a:graphicData uri="http://schemas.openxmlformats.org/drawingml/2006/picture">
                <pic:pic>
                  <pic:nvPicPr>
                    <pic:cNvPr id="0" name="A 27099-2023 karta.png"/>
                    <pic:cNvPicPr/>
                  </pic:nvPicPr>
                  <pic:blipFill>
                    <a:blip r:embed="rId16"/>
                    <a:stretch>
                      <a:fillRect/>
                    </a:stretch>
                  </pic:blipFill>
                  <pic:spPr>
                    <a:xfrm>
                      <a:off x="0" y="0"/>
                      <a:ext cx="5486400" cy="5718299"/>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6421721, E 532445 i SWEREF 99 TM.</w:t>
      </w:r>
    </w:p>
    <w:p>
      <w:r>
        <w:t>I och inom 20 meter från avverkningsanmälan finns fynd av 6 naturvårdsarter, varav 4 är rödlistade, 2 är fridlysta, 5 är typiska (T) och 1 är signalart (S): knärot (VU, T, §8), motaggsvamp (NT, T), tallfingersvamp (NT), tallticka (NT, T), grönpyrola (S, T) och mattlummer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1.02 ha med buffertzonerna och får av detta skäl inte avverkas.</w:t>
      </w:r>
    </w:p>
    <w:p>
      <w:pPr>
        <w:pStyle w:val="Caption"/>
      </w:pPr>
      <w:r>
        <w:drawing>
          <wp:inline xmlns:a="http://schemas.openxmlformats.org/drawingml/2006/main" xmlns:pic="http://schemas.openxmlformats.org/drawingml/2006/picture">
            <wp:extent cx="5486400" cy="5599522"/>
            <wp:docPr id="2" name="Picture 2"/>
            <wp:cNvGraphicFramePr>
              <a:graphicFrameLocks noChangeAspect="1"/>
            </wp:cNvGraphicFramePr>
            <a:graphic>
              <a:graphicData uri="http://schemas.openxmlformats.org/drawingml/2006/picture">
                <pic:pic>
                  <pic:nvPicPr>
                    <pic:cNvPr id="0" name="A 27099-2023 karta knärot.png"/>
                    <pic:cNvPicPr/>
                  </pic:nvPicPr>
                  <pic:blipFill>
                    <a:blip r:embed="rId17"/>
                    <a:stretch>
                      <a:fillRect/>
                    </a:stretch>
                  </pic:blipFill>
                  <pic:spPr>
                    <a:xfrm>
                      <a:off x="0" y="0"/>
                      <a:ext cx="5486400" cy="559952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6421721, E 532445 i SWEREF 99 TM.</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Tallfingersvamp (NT) </w:t>
      </w:r>
      <w:r>
        <w:t>bildar mykorrhiza med tall och gran i äldre barrskog, framför allt sandtallskog men även i annan näringsfattig barrskog, huvudsakligen i äldre kontinuitetsskog. Den totala populationen i landet har minskat och bedöms fortsätta minska till följd av avverkning av barrskogar med trädkontinuitet. Minskningstakten för den svenska populationen bedöms vara nära gränsvärdet för Sårbar (VU). Slutavverkning, gödsling eller exploatering måste undvikas (SLU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Mattlummer (§9)</w:t>
      </w:r>
      <w:r>
        <w:t xml:space="preserve"> är typisk art för </w:t>
      </w:r>
      <w:r>
        <w:rPr>
          <w:i/>
        </w:rPr>
        <w:t xml:space="preserve">9010 Taiga </w:t>
      </w:r>
      <w:r>
        <w:t>(SLU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motaggsvamp (NT, T), tallticka (NT, T), grönpyrola (S, T) och mattlummer (T, §9).</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