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25171-2024 i Kinda kommun</w:t>
      </w:r>
    </w:p>
    <w:p>
      <w:r>
        <w:t>Detta dokument behandlar höga naturvärden i avverkningsanmälan A 25171-2024 i Kinda kommun. Denna avverkningsanmälan inkom 2024-06-19 och omfattar 3,2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15 naturvårdsarter hittats: knärot (VU, §8), motaggsvamp (NT), svartvit taggsvamp (NT), svinrot (NT), ullticka (NT), vedskivlav (NT), björksplintborre (S), blodvaxing (S), bronshjon (S), fällmossa (S), granbarkgnagare (S), gullgröppa (S), kattfotslav (S), rostfläck (S) och blåsippa (§9).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91300"/>
            <wp:docPr id="1" name="Picture 1"/>
            <wp:cNvGraphicFramePr>
              <a:graphicFrameLocks noChangeAspect="1"/>
            </wp:cNvGraphicFramePr>
            <a:graphic>
              <a:graphicData uri="http://schemas.openxmlformats.org/drawingml/2006/picture">
                <pic:pic>
                  <pic:nvPicPr>
                    <pic:cNvPr id="0" name="A 25171-2024 karta.png"/>
                    <pic:cNvPicPr/>
                  </pic:nvPicPr>
                  <pic:blipFill>
                    <a:blip r:embed="rId16"/>
                    <a:stretch>
                      <a:fillRect/>
                    </a:stretch>
                  </pic:blipFill>
                  <pic:spPr>
                    <a:xfrm>
                      <a:off x="0" y="0"/>
                      <a:ext cx="5486400" cy="58913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6439541, E 537081 i SWEREF 99 TM.</w:t>
      </w:r>
    </w:p>
    <w:p>
      <w:r>
        <w:rPr>
          <w:b/>
        </w:rPr>
        <w:t>Fällmossa</w:t>
      </w:r>
      <w:r>
        <w:t xml:space="preserve"> indikerar i stort sett alltid områden med höga naturvärden, skog med lång kontinuitet, gamla träd, hög luftfuktighet och stabila förhållanden. Sporkapslar finnar man enbart på extra skyddsvärda lokaler (Nitare &amp; Skogsstyrelsen, 2019).</w:t>
      </w:r>
    </w:p>
    <w:p>
      <w:r>
        <w:rPr>
          <w:b/>
        </w:rPr>
        <w:t xml:space="preserve">Motaggsvamp (NT) </w:t>
      </w:r>
      <w:r>
        <w:t>bildar mykorrhiza med tall i tallskog och hittas huvudsakligen i äldre, glesare skogsbestånd och hällmarksimpediment. Arten hotas främst av skogsavverkning och tycks försvinna efter slutavverkning, markberedning och plantering (SLU Artdatabanken, 2024).</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pPr>
        <w:pStyle w:val="Heading1"/>
      </w:pPr>
      <w:r>
        <w:t>Fridlysta arter</w:t>
      </w:r>
    </w:p>
    <w:p>
      <w:r>
        <w:t>Följande fridlysta arter har sina livsmiljöer och växtplatser i den avverkningsanmälda skogen: knärot (VU, §8) och blåsippa (§9).</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0.44 ha med buffertzonerna och får av detta skäl inte avverkas.</w:t>
      </w:r>
    </w:p>
    <w:p>
      <w:pPr>
        <w:pStyle w:val="Caption"/>
      </w:pPr>
      <w:r>
        <w:drawing>
          <wp:inline xmlns:a="http://schemas.openxmlformats.org/drawingml/2006/main" xmlns:pic="http://schemas.openxmlformats.org/drawingml/2006/picture">
            <wp:extent cx="5486400" cy="7638959"/>
            <wp:docPr id="2" name="Picture 2"/>
            <wp:cNvGraphicFramePr>
              <a:graphicFrameLocks noChangeAspect="1"/>
            </wp:cNvGraphicFramePr>
            <a:graphic>
              <a:graphicData uri="http://schemas.openxmlformats.org/drawingml/2006/picture">
                <pic:pic>
                  <pic:nvPicPr>
                    <pic:cNvPr id="0" name="A 25171-2024 karta knärot.png"/>
                    <pic:cNvPicPr/>
                  </pic:nvPicPr>
                  <pic:blipFill>
                    <a:blip r:embed="rId17"/>
                    <a:stretch>
                      <a:fillRect/>
                    </a:stretch>
                  </pic:blipFill>
                  <pic:spPr>
                    <a:xfrm>
                      <a:off x="0" y="0"/>
                      <a:ext cx="5486400" cy="763895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6439541, E 537081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15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2025-04-10</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