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5588-2025 i Kinda kommun</w:t>
      </w:r>
    </w:p>
    <w:p>
      <w:r>
        <w:t>Denna tillsynsbegäran behandlar höga naturvärden i avverkningsanmälan A 5588-2025 i Kinda kommun som inkom 2025-02-05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61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8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61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6443573, E 537489 i SWEREF 99 TM.</w:t>
      </w:r>
    </w:p>
    <w:p>
      <w:r>
        <w:t>I avverkningsanmälan finns fynd av 2 naturvårdsarter, varav 1 är fridlyst, 2 är typiska (T) och 1 är signalart (S): stubbspretmossa (S,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Stubbspretmossa</w:t>
      </w:r>
      <w:r>
        <w:t xml:space="preserve"> växer på ved i rika löv- och barrskogar med relativt hög luftfuktighet och indikerar fuktiga skogsmiljöer med gott om murken ved och ofta höga naturvärden. Stubbspretmossa är typisk art för </w:t>
      </w:r>
      <w:r>
        <w:rPr>
          <w:i/>
        </w:rPr>
        <w:t>9020 Nordlig ädellövskog</w:t>
      </w:r>
      <w:r>
        <w:t xml:space="preserve"> (SLU Artdatabanken, 2024).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