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45686-2025 i Kinda kommun</w:t>
      </w:r>
    </w:p>
    <w:p>
      <w:r>
        <w:t>Detta dokument behandlar höga naturvärden i avverkningsanmälan A 45686-2025 i Kinda kommun. Denna avverkningsanmälan inkom 2025-09-23 00:00:00 och omfattar 24,1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skogsalm (CR), ål (CR), ask (EN), tornseglare (EN, §4), backsvala (VU, §4), gulvit blekspik (VU), lungrot (VU), bredbrämad bastardsvärmare (NT), gulsparv (NT, §4), klasefibbla (NT), klubbsprötad bastardsvärmare (NT), oxtungssvamp (NT), rödbrun blekspik (NT), sexfläckig bastardsvärmare (NT), smalsprötad bastardsvärmare (NT), solvända (NT), sommarfibbla (NT), svinrot (NT), vippärt (NT), vårstarr (NT), brun nållav (S), fällmossa (S), scharlakansskål (S), svart trolldruva (S), göktyta (§4), nattviol (§8) och gullviva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45686-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6427342, E 535352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Fridlysta arter</w:t>
      </w:r>
    </w:p>
    <w:p>
      <w:r>
        <w:t>Följande fridlysta arter har sina livsmiljöer och växtplatser i den avverkningsanmälda skogen: tornseglare (EN, §4), backsvala (VU, §4), gulsparv (NT, §4), göktyta (§4),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