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54477-2025 i Kinda kommun</w:t>
      </w:r>
    </w:p>
    <w:p>
      <w:r>
        <w:t>Detta klagomål behandlar höga naturvärden i avverkningsanmälan A 54477-2025 i Kinda kommun som inkom 2025-11-04 och omfattar 23,8 ha.</w:t>
      </w:r>
    </w:p>
    <w:p>
      <w:pPr>
        <w:pStyle w:val="Caption"/>
      </w:pPr>
      <w:r>
        <w:drawing>
          <wp:inline xmlns:a="http://schemas.openxmlformats.org/drawingml/2006/main" xmlns:pic="http://schemas.openxmlformats.org/drawingml/2006/picture">
            <wp:extent cx="5486400" cy="4481503"/>
            <wp:docPr id="1" name="Picture 1"/>
            <wp:cNvGraphicFramePr>
              <a:graphicFrameLocks noChangeAspect="1"/>
            </wp:cNvGraphicFramePr>
            <a:graphic>
              <a:graphicData uri="http://schemas.openxmlformats.org/drawingml/2006/picture">
                <pic:pic>
                  <pic:nvPicPr>
                    <pic:cNvPr id="0" name="A 54477-2025 karta.png"/>
                    <pic:cNvPicPr/>
                  </pic:nvPicPr>
                  <pic:blipFill>
                    <a:blip r:embed="rId16"/>
                    <a:stretch>
                      <a:fillRect/>
                    </a:stretch>
                  </pic:blipFill>
                  <pic:spPr>
                    <a:xfrm>
                      <a:off x="0" y="0"/>
                      <a:ext cx="5486400" cy="4481503"/>
                    </a:xfrm>
                    <a:prstGeom prst="rect"/>
                  </pic:spPr>
                </pic:pic>
              </a:graphicData>
            </a:graphic>
          </wp:inline>
        </w:drawing>
      </w:r>
    </w:p>
    <w:p>
      <w:pPr>
        <w:pStyle w:val="Caption"/>
        <w:spacing w:after="240"/>
      </w:pPr>
      <w:r>
        <w:t>Figur 1. Fyndplatser för naturvårdsarter i och inom 7 meter från avverkningsanmälan. Markörer utan svart kant är placerade på fyndplatsen. Markörer med svart kant är placerade vid sidan av fyndplatsen har ett svart streck som visar fyndplatsens exakta position. Kartans mittpunktskoordinat är N 6440707, E 556194 i SWEREF 99 TM.</w:t>
      </w:r>
    </w:p>
    <w:p>
      <w:r>
        <w:t>I och inom 7 meter från avverkningsanmälan finns fynd av 10 naturvårdsarter, varav 5 är rödlistade, 2 är fridlysta, 10 är typiska (T) och 3 är signalarter (S): dropptaggsvamp (NT, T), dvärgbägarlav (NT, T), orange taggsvamp (NT, T), tallticka (NT, T), vedskivlav (NT, T), flagellkvastmossa (S, T), mindre märgborre (S, T), vedticka (S, T), spillkråka (T, §4) och tjäder (T, §4).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Se även ytterligare artfakta i BILAGA 1. De påträffade naturvårdsarterna är ett tydligt kvitto på att det rör sig om en skog med höga naturvärden.</w:t>
      </w:r>
    </w:p>
    <w:p>
      <w:r>
        <w:rPr>
          <w:b/>
        </w:rPr>
        <w:t>Dropptaggsvamp (NT)</w:t>
      </w:r>
      <w:r>
        <w:t xml:space="preserve"> bildar mykorrhiza med tall, främst i barrskog med trädkontinuitet, i magra, torra och ljusöppna lavtallskogar och i barrblandskogar med friskmossor och lingon i fältskiktet. Den totala populationen i landet har minskat och bedöms fortsätta minska till följd av slutavverkningar av tallskog. Det är högst oklart om arten långsiktigt kan etablera och reproducera sig i skogsbestånd som brukas med trakthyggesmetoder, markberedning, gödsling eller föryngring med förädlat plantmaterial. Uppfyller kriterierna för att bli rödlistad på grund av ny kunskap som visar att en större andel av populationen än tidigare bedömt är knuten till kontinuitetsbarrskog. Minskningstakten för den svenska populationen bedöms vara nära gränsvärdet för Sårbar (VU). Dropptaggsvamp är typisk art för </w:t>
      </w:r>
      <w:r>
        <w:rPr>
          <w:i/>
        </w:rPr>
        <w:t xml:space="preserve">9010 Taiga </w:t>
      </w:r>
      <w:r>
        <w:t>(SLU Artdatabanken, 2026).</w:t>
      </w:r>
    </w:p>
    <w:p>
      <w:r>
        <w:rPr>
          <w:b/>
        </w:rPr>
        <w:t>Dvärgbägarlav (NT)</w:t>
      </w:r>
      <w:r>
        <w:t xml:space="preserve"> förekommer över hela Sverige på gammal hård ved, huvudsakligen på tall men i södra Sverige även på ek. Veden utgörs framförallt av grova stubbar, lågor och grenar. Substratet har blivit sällsyntare och nybildning av substrat sker bara i begränsad omfattning. Arten hotas av att grova lågor blir allt sällsyntare i dagens kulturskogar samt att nybildningen av lämpliga substrat går mycket långsamt. En riklig tillgång på gamla tall- eller eklågor måste säkerställas på artens lokaler. Dvärgbägarlav är typisk art för </w:t>
      </w:r>
      <w:r>
        <w:rPr>
          <w:i/>
        </w:rPr>
        <w:t>9010 Taiga</w:t>
      </w:r>
      <w:r>
        <w:t xml:space="preserve"> (SLU Artdatabanken, 2024; Nitare &amp; Skogsstyrelsen, 2019).</w:t>
      </w:r>
    </w:p>
    <w:p>
      <w:r>
        <w:rPr>
          <w:b/>
        </w:rPr>
        <w:t xml:space="preserve">Orange taggsvamp (NT) </w:t>
      </w:r>
      <w:r>
        <w:t xml:space="preserve">bildar mykorrhiza med både gran och tall och den förekommer främst i äldre barrskogar med kontinuitetsskogskaraktär. Mest frekvent är den i äldre mossrik granskog, men då bara i skogar inom granens naturliga utbredningsområde och i bestånd med långvarig grankontinuitet. Den totala populationen i landet bedöms ha minskat kraftigt och fortsatt kommer att minska då arten är knuten till en produktiv skogsmiljö som successivt avverkas. Arten hotas främst av skogsavverkning och tycks försvinna efter slutavverkning, markberedning och plantering och det är inte känt att arten har återkommit i anlagd skog på tidigare kalmark. Orange taggsvamp är typisk art för </w:t>
      </w:r>
      <w:r>
        <w:rPr>
          <w:i/>
        </w:rPr>
        <w:t>9010 Taiga</w:t>
      </w:r>
      <w:r>
        <w:t xml:space="preserve"> (SLU Artdatabanken, 2024).</w:t>
      </w:r>
    </w:p>
    <w:p>
      <w:r>
        <w:rPr>
          <w:b/>
        </w:rPr>
        <w:t xml:space="preserve">Tallticka (NT) </w:t>
      </w:r>
      <w:r>
        <w:t xml:space="preserve">uppträder först på tallar som är 100–150 år gamla men är vanligast på träd som är runt 150–200 år eller äldre. I skogslandskapet är den främst knuten till tallnaturskogar och restbiotoper med biologiskt gamla träd och signalerar vanligtvis skyddsvärda tallbestånd med höga naturvärden. Tallticka är typisk art för </w:t>
      </w:r>
      <w:r>
        <w:rPr>
          <w:i/>
        </w:rPr>
        <w:t xml:space="preserve">9010 Taiga </w:t>
      </w:r>
      <w:r>
        <w:t xml:space="preserve">och </w:t>
      </w:r>
      <w:r>
        <w:rPr>
          <w:i/>
        </w:rPr>
        <w:t>9060 Åsbarrskog</w:t>
      </w:r>
      <w:r>
        <w:t xml:space="preserve"> (SLU Artdatabanken, 2023; Nitare &amp; Skogsstyrelsen, 2019).</w:t>
      </w:r>
    </w:p>
    <w:p>
      <w:r>
        <w:rPr>
          <w:b/>
        </w:rPr>
        <w:t>Vedskivlav (NT)</w:t>
      </w:r>
      <w:r>
        <w:t xml:space="preserve"> växer på gammal, torr, exponerad, hård kärnved av framförallt tall i naturskogsartade bestånd. Avverkning av tallskog av naturskogskaraktär med spår av återkommande bränder är ett hot. Mängden lämplig ved att växa på för vedskivlav minskar, dels på grund av naturlig nedbrytning men framförallt på grund av att de förstörs i samband med slutavverkningar, gallringar och markberedning. Tall- och blandbarrskogar av naturskogskaraktär med spår av återkommande bränder bör skyddas. Vedskivlav är typisk art för </w:t>
      </w:r>
      <w:r>
        <w:rPr>
          <w:i/>
        </w:rPr>
        <w:t>9010 Taiga</w:t>
      </w:r>
      <w:r>
        <w:t xml:space="preserve"> (SLU Artdatabanken, 2024).</w:t>
      </w:r>
    </w:p>
    <w:p>
      <w:r>
        <w:rPr>
          <w:b/>
        </w:rPr>
        <w:t>Flagellkvastmossa</w:t>
      </w:r>
      <w:r>
        <w:t xml:space="preserve"> förekommer framför allt i tallsumpskog, men finns även i relativt torra gran- och tallskogar. Den signalerar överallt skogsmiljöer med höga naturvärden och indikerar biotoper med rik och kontinuerlig förekomst av död ved i olika nedbrytningsstadier eller barlagd torvjord. Flagellkvastmossa är typisk art för </w:t>
      </w:r>
      <w:r>
        <w:rPr>
          <w:i/>
        </w:rPr>
        <w:t xml:space="preserve">9010 Taiga </w:t>
      </w:r>
      <w:r>
        <w:t>och</w:t>
      </w:r>
      <w:r>
        <w:rPr>
          <w:i/>
        </w:rPr>
        <w:t xml:space="preserve"> 9740 Skogsbevuxen myr </w:t>
      </w:r>
      <w:r>
        <w:t>(SLU Artdatabanken, 2024; Nitare &amp; Skogsstyrelsen, 2019).</w:t>
      </w:r>
    </w:p>
    <w:p>
      <w:r>
        <w:rPr>
          <w:b/>
        </w:rPr>
        <w:t>Mindre märgborre</w:t>
      </w:r>
      <w:r>
        <w:t xml:space="preserve"> är en signalart för tallskog med höga naturvärden och betraktas tillsammans med skarptandad barkborre som nyckelarter för ett antal sällsynta åtgärdsprogramsarter som är beroende av deras gångsystem. Bland dessa kan nämnas avlång barkborre (VU), </w:t>
      </w:r>
      <w:r>
        <w:rPr>
          <w:i/>
        </w:rPr>
        <w:t>Corticeus longulus</w:t>
      </w:r>
      <w:r>
        <w:t xml:space="preserve"> (VU), tallgångbagge (VU), cholodkovskys bastborre (NT) och tallbarksvartbagge (NT). Den mindre märgborrens måsvingeliknande gnaggångar är lätta att känna igen och hittas ofta på grova tallgrenar på marken. Rika förekomster av främst mindre märgborre men även skarptandad barkborre är en signal för artrikedom och inventeringar har visat att det är i skogar med en naturlig självgallring som det skapas förutsättningar för dessa arter samt de efterföljande åtgärdsprogramsarterna. Tallskogar med stark förekomst av mindre märgborre och skarptandad barkborre bör avsättas som reservat. Generellt bör hänsyn tas vid slutavverkning av talldominerad skog så att avverkningsrester som gren- och toppdelar lämnas. Mindre märgborre är typisk art för </w:t>
      </w:r>
      <w:r>
        <w:rPr>
          <w:i/>
        </w:rPr>
        <w:t>9060 Åsbarrskog</w:t>
      </w:r>
      <w:r>
        <w:t xml:space="preserve"> (SLU Artdatabanken, 2026; Pettersson, 2014; Hedgren, 2012; Gunnarsson m fl., 1999).</w:t>
      </w:r>
    </w:p>
    <w:p>
      <w:r>
        <w:rPr>
          <w:b/>
        </w:rPr>
        <w:t xml:space="preserve">Vedticka </w:t>
      </w:r>
      <w:r>
        <w:t xml:space="preserve">är en bra signalart söder om den naturliga norrlandsgränsen. Den är huvudsakligen knuten till äldre barrskogar där det föreligger långvarig kontinuitet av död barrved. Vedticka är typisk art för </w:t>
      </w:r>
      <w:r>
        <w:rPr>
          <w:i/>
        </w:rPr>
        <w:t xml:space="preserve">9010 Taiga </w:t>
      </w:r>
      <w:r>
        <w:t>(Nitare &amp; Skogsstyrelsen, 2019; SLU Artdatabanken, 2025).</w:t>
      </w:r>
    </w:p>
    <w:p>
      <w:r>
        <w:rPr>
          <w:b/>
        </w:rPr>
        <w:t>Spillkråka (§4)</w:t>
      </w:r>
      <w:r>
        <w:t xml:space="preserve"> omfattas av bilaga 1 i EU:s fågeldirektiv och är typisk art för </w:t>
      </w:r>
      <w:r>
        <w:rPr>
          <w:i/>
        </w:rPr>
        <w:t xml:space="preserve">9010 Taiga </w:t>
      </w:r>
      <w:r>
        <w:t>och</w:t>
      </w:r>
      <w:r>
        <w:rPr>
          <w:i/>
        </w:rPr>
        <w:t xml:space="preserve"> 9740 Skogsbevuxen myr</w:t>
      </w:r>
      <w:r>
        <w:t>. Den behöver grova träd, främst tall, asp och bok som boträd. Skogsbruk med korta omloppstider och täta, homogena ungskogar utgör det största hotet. Spillkråka är en nyckelart i skogliga miljöer vars övergivna bohål utnyttjas av flera andra hålhäckande fågelarter och fladdermöss, däribland pärluggla (EN, §4), knipa (§4), salskrake (§4) och skogsduva (§4). Hökuggla (VU, §4) och slaguggla (§4) häckar ofta i högstubbar som brutits av i höjd med ett gammalt spillkråkebo (SLU Artdatabanken, 2026; Skogsstyrelsen, 2016).</w:t>
      </w:r>
    </w:p>
    <w:p>
      <w:r>
        <w:rPr>
          <w:b/>
        </w:rPr>
        <w:t>Tjäder (§4)</w:t>
      </w:r>
      <w:r>
        <w:t xml:space="preserve"> omfattas av bilaga 1 och 2 EU:s fågeldirektiv och är typisk art för </w:t>
      </w:r>
      <w:r>
        <w:rPr>
          <w:i/>
        </w:rPr>
        <w:t xml:space="preserve">9010 Taiga </w:t>
      </w:r>
      <w:r>
        <w:t xml:space="preserve">och </w:t>
      </w:r>
      <w:r>
        <w:rPr>
          <w:i/>
        </w:rPr>
        <w:t>9740 Skogsbevuxen myr</w:t>
      </w:r>
      <w:r>
        <w:t>. Tjädern är en utpräglad skogsfågel knuten till större sammanhängande barrskogsområden. Tupparna och hönorna utnyttjar till viss del olika miljöer, och habitatvalet varierar dessutom mellan olika delar av året. För att det ska finnas livskraftiga tjäderbestånd krävs funktionella skogslandskap med en blandning av uppvuxen, gles och luckig skog, täta sumpskogar, myrar och andra små våtmarker. Arten försvinner när skogen fragmenteras och den sammanlagda arealen hyggen och andra öppna områden blir för stor. Ett småskaligt och försiktigt virkesuttag genom hyggesfria metoder kan i vissa fall vara möjligt i området inom 200 m från lekcentrum. Längre ut från lekcentrum, inom 200–500 m bör den avverkade ytan inte överskrida 1 hektar för att undvika alltför stora och snabba förändringar (Skogsstyrelsen, 2019; SLU Artdatabanken, 2024).</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10 naturvårdsarter varav 5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w:t>
        <w:br/>
        <w:t>Fridlysta och rödlistade arter</w:t>
      </w:r>
    </w:p>
    <w:p>
      <w:pPr>
        <w:pStyle w:val="Heading1"/>
      </w:pPr>
      <w:r>
        <w:t>Mindre märgborre – ekologi samt krav på livsmiljön</w:t>
      </w:r>
    </w:p>
    <w:p>
      <w:r>
        <w:t xml:space="preserve">Mindre märgborre är en signalart för tallskog med höga naturvärden och kan lätt konstateras genom sina karaktäristiska måsvingeliknande gnagspår som ofta hittas på grova tallgrenar på marken. Mindre märgborre betraktas tillsammans med skarptandad barkborre som nyckelarter, eftersom en rad sällsynta efterföljande arter är beroende av deras gångsystem. Bland dessa kan nämnas åtgärdsprogramsarterna avlång barkborre (VU), </w:t>
      </w:r>
      <w:r>
        <w:rPr>
          <w:i/>
        </w:rPr>
        <w:t>Corticeus longulus</w:t>
      </w:r>
      <w:r>
        <w:t xml:space="preserve"> (VU), tallgångbagge (VU), cholodkovskys bastborre (NT) och tallbarksvartbagge (NT) (Pettersson, 2014; Gunnarsson m fl., 1999).</w:t>
      </w:r>
    </w:p>
    <w:p>
      <w:r>
        <w:t>Tallskogar tillhör de livsmiljöer som förändrats i stor skala, där många kvadratmil har omvandlats till unga produktionsskogar. I sådana skogar saknas förutsättningar för de ovannämnda sällsynta barkborrarna och alltmer kunskap tyder på att skogsbrukets omvandling av skogslandskapet, missgynnar åtgärdsprogrammets arter även inne i skyddade områden (Hedgren, 2012; Hedgren m.fl., 2010; Wikars m.fl., 2010; Wikars, 2009). Orsaken är sannolikt att dagens intensiva skogsbruk trivialiserar faunan på nydöda träd. Detta sker genom att generalister förökas upp i sådan grad i den brukade skogen att dessa även kommer att dominera i de för hållandevis små och fragmenterade områden som avsätts för naturvård (Appelqvist, 2005; Janzen, 1983; Ås, 1999).</w:t>
      </w:r>
    </w:p>
    <w:p>
      <w:r>
        <w:t>Ett tydligt exempel på en generalist som gynnas av dagens skogsbruk är större märgborre på nydöd tall. Denna utvecklas förutom i vindfällen gärna i avverkningsavfall, inklusive avverkningsstubbar och röjningsstammar. Därmed har den större märgborren möjlighet att upprätthålla stora och stabila populationer på huvuddelen av landets skogsmark, vilket leder till en trivialisering av faunan. Större märgborre inverkar sannolikt direkt negativt på arter som tolvtandad barkborre (EN) och avlång barkborre (VU), och indirekt på de som är gynnade av blånadssvampar, dvs. följearter till framförallt mindre märgborre och skarptandad barkborre. De barkborrar som missgynnas av större märgborre är i mycket högre grad gynnade av tallar som dör genom självgallring, dvs. i normalfallet skog som inte används till skogsproduktion (Pettersson, 2014; Wikars, skriftl.).</w:t>
      </w:r>
    </w:p>
    <w:p>
      <w:r>
        <w:t xml:space="preserve">Rika förekomster av främst mindre märgborre men även skarptandad barkborre är en signal för artrikedom och inventeringar har visat att det är i skogar med en naturlig självgallring som det skapas förutsättningar för dessa arter samt de efterföljande åtgärdsprogramsarterna (Pettersson, 2014; Hedgren, 2012). Tallskogar med stark förekomst av mindre märgborre och skarptandad barkborre bör avsättas som reservat. Generellt bör hänsyn tas vid slutavverkning av talldominerad skog så att avverkningsrester som gren- och toppdelar (s.k. GROT) lämnas. Mindre märgborre är typisk art för </w:t>
      </w:r>
      <w:r>
        <w:rPr>
          <w:i/>
        </w:rPr>
        <w:t>9060 Åsbarrskog</w:t>
      </w:r>
      <w:r>
        <w:t xml:space="preserve"> (Pettersson, 2014; SLU Artdatabanken, 2026).</w:t>
      </w:r>
    </w:p>
    <w:p>
      <w:pPr>
        <w:pStyle w:val="Heading2"/>
      </w:pPr>
      <w:r>
        <w:t>Referenser – mindre märgborre</w:t>
      </w:r>
    </w:p>
    <w:p>
      <w:r>
        <w:t xml:space="preserve">Appelqvist, T., 2005. </w:t>
      </w:r>
      <w:r>
        <w:rPr>
          <w:i/>
        </w:rPr>
        <w:t>Naturvårdsbiologisk forskning. Underlag för områdesskydd i landskapet.</w:t>
      </w:r>
      <w:r>
        <w:t xml:space="preserve"> Naturvårdsverket, Rapport 5452.</w:t>
      </w:r>
    </w:p>
    <w:p>
      <w:r>
        <w:t xml:space="preserve">Gunnarsson, B., Pettersson, R. B., Hake, M. och Hultengren, S. &amp; Sjöberg, K., 1999. </w:t>
      </w:r>
      <w:r>
        <w:rPr>
          <w:i/>
        </w:rPr>
        <w:t xml:space="preserve">Spindlar och skalbaggar som indikatorer i barrskog. </w:t>
      </w:r>
      <w:r>
        <w:t>Skog &amp; Forskning, Nr. 2/99, s. 46–51.</w:t>
      </w:r>
    </w:p>
    <w:p>
      <w:r>
        <w:t xml:space="preserve">Hedgren, O., 2012. </w:t>
      </w:r>
      <w:r>
        <w:rPr>
          <w:i/>
        </w:rPr>
        <w:t>Hotade insekter på tallved i Dalarna.</w:t>
      </w:r>
      <w:r>
        <w:t xml:space="preserve"> Länsstyrelsen Dalarna, Naturvårdsenheten. Rapport 2012:16.</w:t>
      </w:r>
    </w:p>
    <w:p>
      <w:r>
        <w:t xml:space="preserve">Hedgren, O. 2010. </w:t>
      </w:r>
      <w:r>
        <w:rPr>
          <w:i/>
        </w:rPr>
        <w:t>Vedinsekter i tallskog och på brandfält i Värmland.</w:t>
      </w:r>
      <w:r>
        <w:t xml:space="preserve"> Länsstyrelsen Värmland, Stencil, 39 s.</w:t>
      </w:r>
    </w:p>
    <w:p>
      <w:r>
        <w:t xml:space="preserve">Janzen, D. H., 1983. </w:t>
      </w:r>
      <w:r>
        <w:rPr>
          <w:i/>
        </w:rPr>
        <w:t>No park is an island: Increase in interference from outside as park size decreases</w:t>
      </w:r>
      <w:r>
        <w:t>. Oikos 41: 402–410.</w:t>
      </w:r>
    </w:p>
    <w:p>
      <w:r>
        <w:t xml:space="preserve">Jonsell, M., Weslien, J. &amp; Ehn ström, B., 1998. </w:t>
      </w:r>
      <w:r>
        <w:rPr>
          <w:i/>
        </w:rPr>
        <w:t>Substrate requirements of red-listed saproxylic invertebrates in Sweden</w:t>
      </w:r>
      <w:r>
        <w:t>. Biodiversity and Conserv. 7: 749–764.</w:t>
      </w:r>
    </w:p>
    <w:p>
      <w:r>
        <w:t xml:space="preserve">Pettersson, R. B., 2014). </w:t>
      </w:r>
      <w:r>
        <w:rPr>
          <w:i/>
        </w:rPr>
        <w:t>Åtgärdsprogram för skalbaggar på nyligen död tall, 2014–2018.</w:t>
      </w:r>
      <w:r>
        <w:t xml:space="preserve"> Rapport 6599. Bromma: Naturvårdsverket.</w:t>
      </w:r>
    </w:p>
    <w:p>
      <w:r>
        <w:t xml:space="preserve">SLU Artdatabanken, 2026. </w:t>
      </w:r>
      <w:r>
        <w:rPr>
          <w:i/>
        </w:rPr>
        <w:t xml:space="preserve">Artfaktablad. Naturvård – artfakta. </w:t>
      </w:r>
      <w:r>
        <w:t>SLU Artdatabanken, Uppsala.</w:t>
      </w:r>
    </w:p>
    <w:p>
      <w:r>
        <w:t xml:space="preserve">Wikars, L.-O., Hansson, J. &amp; Hedgren, O., 2010. </w:t>
      </w:r>
      <w:r>
        <w:rPr>
          <w:i/>
        </w:rPr>
        <w:t>Inventering av vedlevande skalbaggar – tallskogar i Örebro län.</w:t>
      </w:r>
      <w:r>
        <w:t xml:space="preserve"> Länsstyrelsen i Örebro län, publ.nr. 2010:2.</w:t>
      </w:r>
    </w:p>
    <w:p>
      <w:r>
        <w:t xml:space="preserve">Wikars, L.-O., 2009. </w:t>
      </w:r>
      <w:r>
        <w:rPr>
          <w:i/>
        </w:rPr>
        <w:t>Vedskalbaggar i Hamra nationalpark, Gävleborgs län.</w:t>
      </w:r>
      <w:r>
        <w:t xml:space="preserve"> Länsstyrelsen Gävleborg, Rapport 2009:14.</w:t>
      </w:r>
    </w:p>
    <w:p>
      <w:pPr>
        <w:pStyle w:val="Heading1"/>
      </w:pPr>
      <w:r>
        <w:t>Spillkråka – ekologi samt krav på livsmiljön</w:t>
      </w:r>
    </w:p>
    <w:p>
      <w:r>
        <w:t xml:space="preserve">Spillkråka (§4) ingår i bilaga 1 EU:s fågeldirektiv och är typisk art för </w:t>
      </w:r>
      <w:r>
        <w:rPr>
          <w:i/>
        </w:rPr>
        <w:t xml:space="preserve">9010 Taiga </w:t>
      </w:r>
      <w:r>
        <w:t>och</w:t>
      </w:r>
      <w:r>
        <w:rPr>
          <w:i/>
        </w:rPr>
        <w:t xml:space="preserve"> 9740 Skogsbevuxen myr</w:t>
      </w:r>
      <w:r>
        <w:t>. Den lever i både barr- och blandskog liksom i ren lövskog. De tätaste populationerna tenderar att finnas i äldre, variationsrik blandskog med gott om död ved och gamla träd. Varje par utnyttjar 400–1000 hektar skog beroende på skogens kvalitet. Skogsbruk med korta omloppstider och täta, homogena ungskogar utgör det största hotet (SLU Artdatabanken, 2026).</w:t>
      </w:r>
    </w:p>
    <w:p>
      <w:r>
        <w:t>Spillkråka är en nyckelart i skogliga miljöer vars övergivna bohål utnyttjas av flera andra hålhäckande fågelarter och fladdermöss, däribland pärluggla (EN, §4), knipa (§4), salskrake (§4) och skogsduva (§4). Hökuggla (VU, §4) och slaguggla (§4) häckar ofta i högstubbar som brutits av i höjd med ett gammalt spillkråkebo (Skogsstyrelsen, 2016).</w:t>
      </w:r>
    </w:p>
    <w:p>
      <w:pPr>
        <w:pStyle w:val="Heading2"/>
      </w:pPr>
      <w:r>
        <w:t>Referenser – spillkråka</w:t>
      </w:r>
    </w:p>
    <w:p>
      <w:r>
        <w:t xml:space="preserve">Skogsstyrelsen, 2016. </w:t>
      </w:r>
      <w:r>
        <w:rPr>
          <w:i/>
        </w:rPr>
        <w:t xml:space="preserve">Vägledning för hänsyn till spillkråka. </w:t>
      </w:r>
      <w:r>
        <w:t>Vägledningar och kunskapsstöd artskydd – Skogsstyrelsen.</w:t>
      </w:r>
    </w:p>
    <w:p>
      <w:r>
        <w:t xml:space="preserve">SLU Artdatabanken, 2026. </w:t>
      </w:r>
      <w:r>
        <w:rPr>
          <w:i/>
        </w:rPr>
        <w:t xml:space="preserve">Artfaktablad. Naturvård – artfakta. </w:t>
      </w:r>
      <w:r>
        <w:t>SLU Artdatabanken, Uppsala.</w:t>
      </w:r>
    </w:p>
    <w:p>
      <w:pPr>
        <w:pStyle w:val="Heading1"/>
      </w:pPr>
      <w:r>
        <w:t>Tjäder – ekologi samt krav på livsmiljön</w:t>
      </w:r>
    </w:p>
    <w:p>
      <w:r>
        <w:t xml:space="preserve">Tjäder (§4) omfattas av bilaga 1 och 2 EU:s fågeldirektiv och är typisk art för </w:t>
      </w:r>
      <w:r>
        <w:rPr>
          <w:i/>
        </w:rPr>
        <w:t xml:space="preserve">9010 Taiga </w:t>
      </w:r>
      <w:r>
        <w:t xml:space="preserve">och </w:t>
      </w:r>
      <w:r>
        <w:rPr>
          <w:i/>
        </w:rPr>
        <w:t>9740 Skogsbevuxen myr</w:t>
      </w:r>
      <w:r>
        <w:t>. Tjädern är en utpräglad skogsfågel knuten till större sammanhängande barrskogsområden. Tupparna och hönorna utnyttjar till viss del olika miljöer, och habitatvalet varierar dessutom mellan olika delar av året. För att det ska finnas livskraftiga tjäderbestånd krävs funktionella skogslandskap med en blandning av uppvuxen, gles och luckig skog, täta sumpskogar, myrar och andra små våtmarker (Skogsstyrelsen, 2019; SLU Artdatabanken 2024).</w:t>
      </w:r>
    </w:p>
    <w:p>
      <w:r>
        <w:t>Arten försvinner när skogen fragmenteras och den sammanlagda arealen hyggen och andra öppna områden blir för stor. Ett småskaligt och försiktigt virkesuttag genom hyggesfria metoder kan i vissa fall vara möjligt i området inom 200 m från lekcentrum. Längre ut från lekcentrum, inom 200–500 m bör den avverkade ytan inte överskrida 1 hektar för att undvika alltför stora och snabba förändringar (Skogsstyrelsen, 2019).</w:t>
      </w:r>
    </w:p>
    <w:p>
      <w:pPr>
        <w:pStyle w:val="Heading2"/>
      </w:pPr>
      <w:r>
        <w:t>Referenser – tjäder</w:t>
      </w:r>
    </w:p>
    <w:p>
      <w:r>
        <w:t xml:space="preserve">Skogsstyrelsen, 2019. </w:t>
      </w:r>
      <w:r>
        <w:rPr>
          <w:i/>
        </w:rPr>
        <w:t>Vägledning för hänsyn till fåglar – tjäder.</w:t>
      </w:r>
    </w:p>
    <w:p>
      <w:r>
        <w:t xml:space="preserve">SLU Artdatabanken, 2024.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2026-07-24</w:t>
      <w:br/>
      <w:br/>
    </w:r>
    <w:r>
      <w:t>Till: Övriga Aktiebolag</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