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30320-2026 i Kinda kommun</w:t>
      </w:r>
    </w:p>
    <w:p>
      <w:r>
        <w:t>Denna tillsynsbegäran behandlar höga naturvärden i avverkningsanmälan A 30320-2026 i Kinda kommun som inkom 2026-07-03 och omfattar 4,6 ha.</w:t>
      </w:r>
    </w:p>
    <w:p>
      <w:pPr>
        <w:pStyle w:val="Caption"/>
      </w:pPr>
      <w:r>
        <w:drawing>
          <wp:inline xmlns:a="http://schemas.openxmlformats.org/drawingml/2006/main" xmlns:pic="http://schemas.openxmlformats.org/drawingml/2006/picture">
            <wp:extent cx="5100073" cy="5724000"/>
            <wp:docPr id="1" name="Picture 1"/>
            <wp:cNvGraphicFramePr>
              <a:graphicFrameLocks noChangeAspect="1"/>
            </wp:cNvGraphicFramePr>
            <a:graphic>
              <a:graphicData uri="http://schemas.openxmlformats.org/drawingml/2006/picture">
                <pic:pic>
                  <pic:nvPicPr>
                    <pic:cNvPr id="0" name="A 30320-2026 karta.png"/>
                    <pic:cNvPicPr/>
                  </pic:nvPicPr>
                  <pic:blipFill>
                    <a:blip r:embed="rId16"/>
                    <a:stretch>
                      <a:fillRect/>
                    </a:stretch>
                  </pic:blipFill>
                  <pic:spPr>
                    <a:xfrm>
                      <a:off x="0" y="0"/>
                      <a:ext cx="510007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6430642, E 557985 i SWEREF 99 TM.</w:t>
      </w:r>
    </w:p>
    <w:p>
      <w:r>
        <w:t>I avverkningsanmälan finns fynd av 17 naturvårdsarter, varav 9 är rödlistade, 6 är fridlysta, 11 är typiska (T) och 4 är signalarter (S): knärot (VU, T, §8), dvärgbägarlav (NT, T), mindre hackspett (NT, T, §4), reliktbock (NT, T), svart skogssnigel (NT), tallticka (NT, T), talltita (NT, §4), vedskivlav (NT, T), älg (NT), blomkålssvamp (S), blåmossa (S, T), fällmossa (S, T), gullgröppa (S), spillkråka (T, §4), timmerticka (T), tofsmes (T, §4) och vanlig groda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1.35 ha med buffertzonerna och får av detta skäl inte avverkas.</w:t>
      </w:r>
    </w:p>
    <w:p>
      <w:pPr>
        <w:pStyle w:val="Caption"/>
      </w:pPr>
      <w:r>
        <w:drawing>
          <wp:inline xmlns:a="http://schemas.openxmlformats.org/drawingml/2006/main" xmlns:pic="http://schemas.openxmlformats.org/drawingml/2006/picture">
            <wp:extent cx="5486400" cy="5901179"/>
            <wp:docPr id="2" name="Picture 2"/>
            <wp:cNvGraphicFramePr>
              <a:graphicFrameLocks noChangeAspect="1"/>
            </wp:cNvGraphicFramePr>
            <a:graphic>
              <a:graphicData uri="http://schemas.openxmlformats.org/drawingml/2006/picture">
                <pic:pic>
                  <pic:nvPicPr>
                    <pic:cNvPr id="0" name="A 30320-2026 karta knärot.png"/>
                    <pic:cNvPicPr/>
                  </pic:nvPicPr>
                  <pic:blipFill>
                    <a:blip r:embed="rId17"/>
                    <a:stretch>
                      <a:fillRect/>
                    </a:stretch>
                  </pic:blipFill>
                  <pic:spPr>
                    <a:xfrm>
                      <a:off x="0" y="0"/>
                      <a:ext cx="5486400" cy="590117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6430642, E 557985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Timmerticka</w:t>
      </w:r>
      <w:r>
        <w:t xml:space="preserve"> är typisk art för </w:t>
      </w:r>
      <w:r>
        <w:rPr>
          <w:i/>
        </w:rPr>
        <w:t>9060 Åsbarrskog</w:t>
      </w:r>
      <w:r>
        <w:t>. Bland annat åtgärdsprogramsarten skrovlig flatbagge (NT) samt timmertickgnagare kan påträffas på eller i nära anslutning till fruktkroppar av timmerticka</w:t>
      </w:r>
      <w:r>
        <w:rPr>
          <w:i/>
        </w:rPr>
        <w:t xml:space="preserve"> </w:t>
      </w:r>
      <w:r>
        <w:t>(SLU Artdatabanken, 2026).</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dvärgbägarlav (NT, T), mindre hackspett (NT, T, §4), reliktbock (NT, T), tallticka (NT, T), vedskivlav (NT, T), blåmossa (S, T), fällmossa (S, T), spillkråka (T, §4), timmerticka (T)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