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74202-2021 i Kinda kommun</w:t>
      </w:r>
    </w:p>
    <w:p>
      <w:r>
        <w:t>Denna tillsynsbegäran behandlar höga naturvärden i avverkningsanmälan A 74202-2021 i Kinda kommun som inkom 2021-12-28 och omfattar 0,8 ha.</w:t>
      </w:r>
    </w:p>
    <w:p>
      <w:pPr>
        <w:pStyle w:val="Caption"/>
      </w:pPr>
      <w:r>
        <w:drawing>
          <wp:inline xmlns:a="http://schemas.openxmlformats.org/drawingml/2006/main" xmlns:pic="http://schemas.openxmlformats.org/drawingml/2006/picture">
            <wp:extent cx="5486400" cy="4889870"/>
            <wp:docPr id="1" name="Picture 1"/>
            <wp:cNvGraphicFramePr>
              <a:graphicFrameLocks noChangeAspect="1"/>
            </wp:cNvGraphicFramePr>
            <a:graphic>
              <a:graphicData uri="http://schemas.openxmlformats.org/drawingml/2006/picture">
                <pic:pic>
                  <pic:nvPicPr>
                    <pic:cNvPr id="0" name="A 74202-2021 karta.png"/>
                    <pic:cNvPicPr/>
                  </pic:nvPicPr>
                  <pic:blipFill>
                    <a:blip r:embed="rId16"/>
                    <a:stretch>
                      <a:fillRect/>
                    </a:stretch>
                  </pic:blipFill>
                  <pic:spPr>
                    <a:xfrm>
                      <a:off x="0" y="0"/>
                      <a:ext cx="5486400" cy="488987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6429344, E 526160 i SWEREF 99 TM.</w:t>
      </w:r>
    </w:p>
    <w:p>
      <w:r>
        <w:t>Inom 19 meter från avverkningsanmälan finns fynd av 6 naturvårdsarter, varav 3 är rödlistade, 1 är fridlyst och 3 är signalarter (S): läderbagge (VU, §4a), kardinalrödrock (NT), Xyletinus longitarsis (NT), aspvedborre (S), aspvedgnagare (S) och noshornsoxe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 xml:space="preserve">Kardinalrödrock (NT) </w:t>
      </w:r>
      <w:r>
        <w:t>är en knäppare vars larvutveckling sker i tämligen fast och torr, brunrötad ved av lövträd, främst i grova, ihåliga, stående ekar med svavelticka, även i bok, ask och lind. Ekbestånd som innehåller grova, rötskadade träd bör lämnas. Arten är värmekrävande, varför röjning runt gamla ekar på vissa lokaler för att öka solinstrålningen är gynnsam. En långsiktig planering för att rekrytera ekar ur yngre generationer till att bli framtida hålekar på en del av lokalerna är också av stor vikt. Kardinalrödrock är globalt rödlistad som nära hotad (NT) vilket innebär att Sverige har ett internationellt ansvar för arten (SLU Artdatabanken, 2026; IUCN, 2023).</w:t>
      </w:r>
    </w:p>
    <w:p>
      <w:r>
        <w:rPr>
          <w:b/>
          <w:i/>
        </w:rPr>
        <w:t>Xyletinus longitarsis</w:t>
      </w:r>
      <w:r>
        <w:rPr>
          <w:b/>
        </w:rPr>
        <w:t xml:space="preserve"> (NT) </w:t>
      </w:r>
      <w:r>
        <w:t>är en skalbagge vars larvutveckling sker i torr, vitrötad, ganska seg ved av ek. Oftast i grova, stående eller liggande stammar men även i döda grenar, sekundärt i gamla stängselstolpar av ek. Arten påverkas negativt av brist på död ved och en minskning av populationen pågår eller förväntas ske. Minskningen avser kvalitén på artens habitat (SLU Artdatabanken, 2025).</w:t>
      </w:r>
    </w:p>
    <w:p>
      <w:r>
        <w:rPr>
          <w:b/>
        </w:rPr>
        <w:t>Aspvedborre</w:t>
      </w:r>
      <w:r>
        <w:rPr>
          <w:b/>
          <w:i/>
        </w:rPr>
        <w:t xml:space="preserve"> </w:t>
      </w:r>
      <w:r>
        <w:t>är anpassad att leva på döende gamla aspar med nedsatt vitalitet eller som är skadade efter stormfällningar och stambrott, ofta i halvskuggiga lägen. Arten påverkas negativt av brist på grova eller gamla träd och det föreligger indikation på eller misstanke om populationsminskning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