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57132-2024 i Boxholms kommun</w:t>
      </w:r>
    </w:p>
    <w:p>
      <w:r>
        <w:t>Detta dokument behandlar höga naturvärden i avverkningsanmälan A 57132-2024 i Boxholms kommun. Denna avverkningsanmälan inkom 2024-12-03 och omfattar 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gammelekslav (NT), skrovellav (NT), skuggorangelav (NT) och kornig nållav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57132-2024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6443446, E 502850 i SWEREF 99 TM.</w:t>
      </w:r>
    </w:p>
    <w:p>
      <w:r>
        <w:rPr>
          <w:b/>
        </w:rPr>
        <w:t xml:space="preserve">Gammelekslav (NT) </w:t>
      </w:r>
      <w:r>
        <w:t>är en mycket exklusiv lav som</w:t>
      </w:r>
      <w:r>
        <w:rPr>
          <w:b/>
        </w:rPr>
        <w:t xml:space="preserve"> </w:t>
      </w:r>
      <w:r>
        <w:t>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Skuggorangelav (NT)</w:t>
      </w:r>
      <w:r>
        <w:t xml:space="preserve"> växer främst på gamla grova ekar i halvöppna lägen. På lokaler med skuggorangelav måste ett tillräckligt antal unga träd tillåtas bli mycket gamla för att på lång sikt ersätta de nuvarande gammelträden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