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klagomål behandlar höga naturvärden i avverkningsanmälan A 43468-2025 i Boxholms kommun som inkom 2025-09-11 och omfattar 3,0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6426989, E 519363 i SWEREF 99 TM.</w:t>
      </w:r>
    </w:p>
    <w:p>
      <w:r>
        <w:t>I och inom 17 meter från avverkningsanmälan finns fynd av 25 naturvårdsarter, varav 10 är rödlistade, 15 är typiska (T) och 15 är signalarter (S): skogsalm (EN), blek kraterlav (VU), klosterlav (VU), Amphicyllis globiformis (NT), kandelabersvamp (NT, T), korthornad ögonbagge (NT), parknål (NT), rosa skärelav (NT, T), rödhalsad vedsvampbagge (NT), vedtrappmossa (NT, T), blåsfliksmossa (S, T), fällmossa (S, T), grov fjädermossa (S, T), klippfrullania (S, T), kornig nållav (S, T), noshornsoxe (S), slanklav (S, T), sotlav (S, T), stekelbock (S, T), traslav (S), trubbfjädermossa (S, T), trädporella (S, T), underviol (S, T), vanlig flatbagge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