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36575-2025 i Boxholms kommun</w:t>
      </w:r>
    </w:p>
    <w:p>
      <w:r>
        <w:t>Denna tillsynsbegäran behandlar höga naturvärden i avverkningsanmälan A 36575-2025 i Boxholms kommun som inkom 2025-08-01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54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5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6432526, E 505564 i SWEREF 99 TM.</w:t>
      </w:r>
    </w:p>
    <w:p>
      <w:r>
        <w:t>I avverkningsanmälan finns fynd av 3 naturvårdsarter, varav 3 är rödlistade och 2 är typiska (T): gammelekslav (NT, T), rosa skärelav (NT, T) och skuggorangelav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p>
      <w:r>
        <w:rPr>
          <w:b/>
        </w:rPr>
        <w:t>Rosa skärelav (NT)</w:t>
      </w:r>
      <w:r>
        <w:t xml:space="preserve"> är en sällsynt skorplav som är spridd från Skåne till Lule Lappmark. I södra Sverige förekommer den i trädbärande marker med lång trädkontinuitet, framför allt på ek och i norra Sverige förekommer den i kontinuitetsskog med hög luftfuktighet, främst på sälg. Särskilt rika lokaler med rosa skärelav måste skyddas. Alla skogar med arten bör undantas från slutavverkning. Rosa skärelav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2024; Nitare &amp; Skogsstyrelsen, 2019).</w:t>
      </w:r>
    </w:p>
    <w:p>
      <w:r>
        <w:rPr>
          <w:b/>
        </w:rPr>
        <w:t>Skuggorangelav (NT)</w:t>
      </w:r>
      <w:r>
        <w:t xml:space="preserve"> växer främst på gamla grova ekar i halvöppna lägen. På lokaler med skuggorangelav måste ett tillräckligt antal unga träd tillåtas bli mycket gamla för att på lång sikt ersätta de nuvarande gammelträden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