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43468-2025 i Boxholms kommun</w:t>
      </w:r>
    </w:p>
    <w:p>
      <w:r>
        <w:t>Detta dokument behandlar höga naturvärden i avverkningsanmälan A 43468-2025 i Boxholms kommun. Denna avverkningsanmälan inkom 2025-09-11 11:24:17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21 naturvårdsarter hittats: skogsalm (CR), blek kraterlav (VU), klosterlav (VU), Amphicyllis globiformis (NT), kandelabersvamp (NT), korthornad ögonbagge (NT), parknål (NT), rosa skärelav (NT), rödhalsad vedsvampbagge (NT), vedtrappmossa (NT), fällmossa (S), klippfrullania (S), kornig nållav (S), noshornsoxe (S), sotlav (S), traslav (S), trubbfjädermossa (S), trädporella (S), underviol (S), vanlig flatbagge (S) och västlig hakmossa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4773"/>
            <wp:docPr id="1" name="Picture 1"/>
            <wp:cNvGraphicFramePr>
              <a:graphicFrameLocks noChangeAspect="1"/>
            </wp:cNvGraphicFramePr>
            <a:graphic>
              <a:graphicData uri="http://schemas.openxmlformats.org/drawingml/2006/picture">
                <pic:pic>
                  <pic:nvPicPr>
                    <pic:cNvPr id="0" name="A 43468-2025 karta.png"/>
                    <pic:cNvPicPr/>
                  </pic:nvPicPr>
                  <pic:blipFill>
                    <a:blip r:embed="rId16"/>
                    <a:stretch>
                      <a:fillRect/>
                    </a:stretch>
                  </pic:blipFill>
                  <pic:spPr>
                    <a:xfrm>
                      <a:off x="0" y="0"/>
                      <a:ext cx="5486400" cy="4414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6426989, E 519363 i SWEREF 99 TM.</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Klosterlav (VU)</w:t>
      </w:r>
      <w:r>
        <w:t xml:space="preserve"> växer på grov bark på stammar av framför allt ädellövträd som ask, bok, alm, lönn och lind, men fynd finns även på fläder och knäckepil. Klosterlaven finns både i sluten skog och i halvöppna till öppna miljöer, bl.a. på hamlade träd (solitära eller i löväng), i blandad ädellövskog och i ren bokskog. Arten förekommer vanligen vid basen av träden, men kan växa på upp till två meters höjd. På ljusa lokaler växer laven i sprickor på trädens skuggsida. Lokalerna har lång kontinuitet på gamla träd, hög luftfuktighet och andra rödlistade lavar förekommer ofta tillsammans med klosterlaven. Klosterlaven gynnas av att man sparar skog med lång kontinuitet, gamla vårdträd och lövängar. Alltför snabbt upptagande av hävden av lövängar kan innebära att laven skadas av den snabba förändringen till ett ljusare och torrare lokalklimat (SLU Artdatabanken, 2024).</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Korthornad ögonbagge (NT) </w:t>
      </w:r>
      <w:r>
        <w:t>är en skalbagge vars larvutveckling sker i fruktkroppar av resupinata tickor på lövträd, ofta under lös bark på liggande, döda aspar, men även på brandskadade rönnar och andra lövträd. Arten påverkas negativt av brist på grova eller gamla träd och en minskning av populationen pågår eller förväntas ske. Minskningen avser kvalitén på artens habitat och antalet lokalområden (SLU Artdatabanken, 2025).</w:t>
      </w:r>
    </w:p>
    <w:p>
      <w:r>
        <w:rPr>
          <w:b/>
        </w:rPr>
        <w:t xml:space="preserve">Parknål (NT) </w:t>
      </w:r>
      <w:r>
        <w:t>växer söder om Dalälven på gamla ädellövträd och i norra Sverige på mycket gamla sälgar i skogar med hög och jämn luftfuktighet. Ofta förekommer den tillsammans med andra rödlistade knappnålslavar. Lämpliga träd nyskapas i begränsad omfattning. Spara grova träd, restaurera hag- och slåttermarker och öppna runt grova ekar som nu är kraftigt beskuggade. Förekomsterna i norra Sverige måste skyddas (SLU Artdatabanken, 2025).</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 xml:space="preserve">Rödhalsad vedsvampbagge (NT) </w:t>
      </w:r>
      <w:r>
        <w:t>är en skalbagge vars larvutveckling sker i ganska lös, vitrötad svampig ved, mer sällan i fruktkroppar av vedsvampar. Främst på asp men även i gran angripen av violticka samt på tall, björk, al, hassel och ek. Arten är knuten till äldre skog med god tillgång på ved i torrträd och högstubbar och missgynnas främst av bristen på död, vitrötad ved i skogen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