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42147-2025 i Boxholms kommun</w:t>
      </w:r>
    </w:p>
    <w:p>
      <w:r>
        <w:t>Detta dokument behandlar höga naturvärden i avverkningsanmälan A 42147-2025 i Boxholms kommun. Denna avverkningsanmälan inkom 2025-09-04 09:02:16 och omfattar 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ärtvicker (EN, §8), slåtterfibbla (NT), svinrot (NT) och vippärt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42147-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6434415, E 519740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ärtvicker (EN, §8).</w:t>
      </w:r>
    </w:p>
    <w:p>
      <w:r>
        <w:rPr>
          <w:b/>
        </w:rPr>
        <w:t>Ärtvicker (EN, §8)</w:t>
      </w:r>
      <w:r>
        <w:t xml:space="preserve"> är en av våra mest sällsynta ädellövskogsväxter och växer i stenig och snårig terräng, där trädskiktet utgörs av ädla lövträd, såsom ek, hassel och lind. Växtplatserna ligger oftast i syd/västexponerade rasbranter med lundvegetation. Arten är begärlig för kreatur, varför bete är olämpligt på lokalerna. Största hotet numera är "vårdande" röjningar i framför allt buskskiktet och skogsavverkningar. Samtliga lokaler måste skyddas och det är av största vikt är att behålla ett rikt utbildat buskskikt och förhindra avverkning av ädellövträden. Ärtvicker är rödlistad som starkt hotad och fridlyst enligt 8 § artskyddsförordningen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